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6D41B5A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color w:val="auto"/>
          <w:sz w:val="28"/>
          <w:szCs w:val="28"/>
          <w:lang w:eastAsia="en-US"/>
        </w:rPr>
      </w:pPr>
      <w:r w:rsidRPr="009847E3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en-US"/>
        </w:rPr>
        <w:t>Történeti épületek helyreállítása: kihívások és konfliktusok</w:t>
      </w:r>
    </w:p>
    <w:p w14:paraId="522A1D24" w14:textId="77777777" w:rsidR="009847E3" w:rsidRPr="009847E3" w:rsidRDefault="009847E3" w:rsidP="009847E3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color w:val="auto"/>
          <w:sz w:val="22"/>
          <w:szCs w:val="22"/>
          <w:shd w:val="clear" w:color="auto" w:fill="F5F5F5"/>
          <w:lang w:eastAsia="en-US"/>
        </w:rPr>
      </w:pPr>
    </w:p>
    <w:p w14:paraId="34ACD8ED" w14:textId="77777777" w:rsidR="009847E3" w:rsidRPr="009847E3" w:rsidRDefault="009847E3" w:rsidP="009847E3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shd w:val="clear" w:color="auto" w:fill="F5F5F5"/>
          <w:lang w:eastAsia="en-US"/>
        </w:rPr>
      </w:pPr>
    </w:p>
    <w:p w14:paraId="660AD6AF" w14:textId="77777777" w:rsidR="009847E3" w:rsidRPr="009847E3" w:rsidRDefault="009847E3" w:rsidP="009847E3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shd w:val="clear" w:color="auto" w:fill="F5F5F5"/>
          <w:lang w:eastAsia="en-US"/>
        </w:rPr>
      </w:pPr>
      <w:r w:rsidRPr="009847E3">
        <w:rPr>
          <w:rFonts w:ascii="Calibri" w:eastAsia="Times New Roman" w:hAnsi="Calibri" w:cs="Calibri"/>
          <w:b/>
          <w:bCs/>
          <w:color w:val="auto"/>
          <w:sz w:val="22"/>
          <w:szCs w:val="22"/>
          <w:shd w:val="clear" w:color="auto" w:fill="F5F5F5"/>
          <w:lang w:eastAsia="en-US"/>
        </w:rPr>
        <w:t xml:space="preserve">Épített örökségünk megőrzése széles körű és speciális ismereteket igényel, a műemlékvédelem területén mindinkább olyan szakmailag képzett, innovatív és holisztikus szemléletű, projektorientált szakemberekre van szükség, akik alaposan ismerik a történeti épületek diagnosztikai módszereinek elméletét és gyakorlatát. A szakmai képzés mellett a tudásmegosztás egyik leghatékonyabb platformja a szakmai találkozók megszervezése, ezért is rendezi meg évről évre a Történeti épületek helyreállítása szakmai fórumot </w:t>
      </w:r>
      <w:r w:rsidRPr="009847E3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shd w:val="clear" w:color="auto" w:fill="F5F5F5"/>
          <w:lang w:eastAsia="en-US"/>
        </w:rPr>
        <w:t xml:space="preserve">a pécsi Pollack Expo keretében a Pécsi Tudományegyetem Műszaki és Informatikai Kara (PTE MIK), együttműködésben a Magyar Mérnöki Kamara Építési Tagozatával és a Baranya Vármegyei Mérnöki Kamarával. Az idei találkozó </w:t>
      </w:r>
      <w:r w:rsidRPr="009847E3">
        <w:rPr>
          <w:rFonts w:ascii="Calibri" w:eastAsia="Times New Roman" w:hAnsi="Calibri" w:cs="Calibri"/>
          <w:b/>
          <w:bCs/>
          <w:color w:val="auto"/>
          <w:sz w:val="22"/>
          <w:szCs w:val="22"/>
          <w:shd w:val="clear" w:color="auto" w:fill="F5F5F5"/>
          <w:lang w:eastAsia="en-US"/>
        </w:rPr>
        <w:t xml:space="preserve">programjában egyaránt helyet kapnak tartószerkezeti, műemléki kutatási, építészeti és városi tér helyreállításával kapcsolatos kérdések, amelyekről az aktuális munkák mentén maguk az érintett szakemberek, tervezők, kivitelezők, lebonyolítók, oktatók beszélnek április 24-én a PTE MIK-en. </w:t>
      </w:r>
    </w:p>
    <w:p w14:paraId="48DAE891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en-US"/>
        </w:rPr>
      </w:pPr>
    </w:p>
    <w:p w14:paraId="1118D939" w14:textId="77777777" w:rsidR="009847E3" w:rsidRPr="009847E3" w:rsidRDefault="009847E3" w:rsidP="009847E3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Az idei fórum az építészeti tervezés és a szerkezeti kérdések köré összpontosul, ugyanakkor kinyitja a beszélgetést történeti és kortárs viszonylatára is. A fórumot Dévényi Sándor Kossuth-díjas pécsi építész, a nemzet művésze előadása nyitja azzal, hogy bemutatja, építészként miként gondolkodott új épületek történeti városszövetben történő elhelyezéséről, vagy éppen magának a városszövetnek a megújításáról. A műemlékhelyreállítás során jelentkező kihívások sokféle formát ölthetnek, a felhasznált anyagok és szerkezetek, az alkalmazott technológia okozhat feszültséget a történeti épületek értékeinek megőrzésében, a hitelesség, az épség biztosításában, csakúgy, mint egy-egy funkcióváltás, a történeti épület komfortjának emelése, vagy éppen mai statikai előírásoknak történő megfeleltetése is. Ehhez a problémafelvetéshez kapcsolódik például </w:t>
      </w:r>
      <w:proofErr w:type="spellStart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Fejérdy</w:t>
      </w:r>
      <w:proofErr w:type="spellEnd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Tamás előadása különös tekintettel a frissebb (XX. században létrejött) védett épületekre is kiterjesztve. </w:t>
      </w:r>
      <w:proofErr w:type="spellStart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Besey</w:t>
      </w:r>
      <w:proofErr w:type="spellEnd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László építőmérnök pedig a történeti épületek és a „</w:t>
      </w:r>
      <w:proofErr w:type="spellStart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high</w:t>
      </w:r>
      <w:proofErr w:type="spellEnd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tech</w:t>
      </w:r>
      <w:proofErr w:type="spellEnd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” konfliktusát mutatja be saját munkáin keresztül. Melyek a megőrzéshez és a „jó” mai használathoz vezető utak? A résztvevők ezekről hallhatnak a nap során olyan műemléki helyreállítások kapcsán, amelyek az elmúlt évben az ICOMOS szakmai elismerését is </w:t>
      </w:r>
      <w:proofErr w:type="spellStart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magukénak</w:t>
      </w:r>
      <w:proofErr w:type="spellEnd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tudhatják, így például Sopron belvárosa műemléki helyreállításáról, vagy a </w:t>
      </w:r>
      <w:proofErr w:type="spellStart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Sipeki</w:t>
      </w:r>
      <w:proofErr w:type="spellEnd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Balás Villa felújításáról. A pécsi képzés egyik vezető tanára, Mezős Tamás az egykori Mária Terézia-laktanya példáján mutatja be, hogyan ütközik egymással az értékleltár tartalmának jogszabályi háttere és a műemlék fenntarthatósága, míg a professzor munkatársai a műemléki laktanya épületfelmérésbe engednek bepillantást. Zárásként az </w:t>
      </w:r>
      <w:proofErr w:type="spellStart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adaptive</w:t>
      </w:r>
      <w:proofErr w:type="spellEnd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reuse</w:t>
      </w:r>
      <w:proofErr w:type="spellEnd"/>
      <w:r w:rsidRPr="009847E3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és a jogi környezet problémakörét járjuk körül a pécsi Nick-udvar felújítása kapcsán.</w:t>
      </w:r>
    </w:p>
    <w:p w14:paraId="01520B52" w14:textId="77777777" w:rsidR="009847E3" w:rsidRPr="009847E3" w:rsidRDefault="009847E3" w:rsidP="009847E3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4388F153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en-US"/>
        </w:rPr>
      </w:pPr>
      <w:r w:rsidRPr="009847E3">
        <w:rPr>
          <w:rFonts w:ascii="Calibri" w:eastAsia="Times New Roman" w:hAnsi="Calibri" w:cs="Calibri"/>
          <w:sz w:val="22"/>
          <w:szCs w:val="22"/>
          <w:lang w:eastAsia="en-US"/>
        </w:rPr>
        <w:t>Az országos szakmai fórumot évről évre akkreditált saját képzésként elismeri mind a Magyar Építész, mind a Magyar Mérnöki Kamara is. „N</w:t>
      </w:r>
      <w:r w:rsidRPr="009847E3">
        <w:rPr>
          <w:rFonts w:ascii="Calibri" w:eastAsia="Times New Roman" w:hAnsi="Calibri" w:cs="Calibri"/>
          <w:color w:val="auto"/>
          <w:sz w:val="22"/>
          <w:szCs w:val="22"/>
          <w:lang w:eastAsia="en-US"/>
        </w:rPr>
        <w:t>em titkolt célunk a pécsi Történeti épületdiagnosztikai és rehabilitációs szakmérnöki képzést megmutatni a szélesebb szakmai közönség előtt, egyúttal hagyományteremtő céllal szakmai közösséget építeni” – mondja a fórum egyik házigazdája, dr. Kovács-Andor Krisztián, Ybl-díjas építész, szakfelelős.</w:t>
      </w:r>
    </w:p>
    <w:p w14:paraId="779EE141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en-US"/>
        </w:rPr>
      </w:pPr>
    </w:p>
    <w:p w14:paraId="253479B2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en-US"/>
        </w:rPr>
      </w:pPr>
      <w:r w:rsidRPr="009847E3">
        <w:rPr>
          <w:rFonts w:ascii="Calibri" w:eastAsia="Times New Roman" w:hAnsi="Calibri" w:cs="Calibri"/>
          <w:color w:val="auto"/>
          <w:sz w:val="22"/>
          <w:szCs w:val="22"/>
          <w:lang w:eastAsia="en-US"/>
        </w:rPr>
        <w:t>A</w:t>
      </w:r>
      <w:r w:rsidRPr="009847E3">
        <w:rPr>
          <w:rFonts w:eastAsia="Times New Roman"/>
        </w:rPr>
        <w:t xml:space="preserve"> </w:t>
      </w:r>
      <w:r w:rsidRPr="009847E3">
        <w:rPr>
          <w:rFonts w:ascii="Calibri" w:eastAsia="Times New Roman" w:hAnsi="Calibri" w:cs="Calibri"/>
          <w:color w:val="auto"/>
          <w:sz w:val="22"/>
          <w:szCs w:val="22"/>
          <w:lang w:eastAsia="en-US"/>
        </w:rPr>
        <w:t>Történeti épületek helyreállítása szakmai fórumot a Magyar Építész Kamara és a Magyar Mérnöki Kamara továbbképzésként akkreditálja.</w:t>
      </w:r>
    </w:p>
    <w:p w14:paraId="692D5789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en-US"/>
        </w:rPr>
      </w:pPr>
    </w:p>
    <w:p w14:paraId="0B84139D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en-US"/>
        </w:rPr>
      </w:pPr>
    </w:p>
    <w:p w14:paraId="64F136A4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en-US"/>
        </w:rPr>
      </w:pPr>
      <w:r w:rsidRPr="009847E3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en-US"/>
        </w:rPr>
        <w:t>A Történeti épületek helyreállítása szakmai fórumra 2026. április 24-én, pénteken 9:00–16:00 Pécsett, a PTE MIK Boszorkány út 2. sz. alatti kampuszán szeretettel hívjuk és várjuk a sajtó képviselőit. A részletes programot mellékeljük.</w:t>
      </w:r>
    </w:p>
    <w:p w14:paraId="14CA0BCB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en-US"/>
        </w:rPr>
      </w:pPr>
    </w:p>
    <w:p w14:paraId="263338E6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en-US"/>
        </w:rPr>
      </w:pPr>
      <w:r w:rsidRPr="009847E3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en-US"/>
        </w:rPr>
        <w:t>További információ a sajtó számára:</w:t>
      </w:r>
    </w:p>
    <w:p w14:paraId="161A9457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en-US"/>
        </w:rPr>
      </w:pPr>
      <w:r w:rsidRPr="009847E3">
        <w:rPr>
          <w:rFonts w:ascii="Calibri" w:eastAsia="Times New Roman" w:hAnsi="Calibri" w:cs="Calibri"/>
          <w:color w:val="auto"/>
          <w:sz w:val="22"/>
          <w:szCs w:val="22"/>
          <w:lang w:eastAsia="en-US"/>
        </w:rPr>
        <w:t>dr. Mészáros Bernadett adjunktus, műemlékvédelmi szaktanácsadó, a program szervezője</w:t>
      </w:r>
      <w:r w:rsidRPr="009847E3">
        <w:rPr>
          <w:rFonts w:ascii="Calibri" w:eastAsia="Times New Roman" w:hAnsi="Calibri" w:cs="Calibri"/>
          <w:szCs w:val="24"/>
          <w:lang w:eastAsia="en-US"/>
        </w:rPr>
        <w:t xml:space="preserve"> – PTE MIK</w:t>
      </w:r>
    </w:p>
    <w:p w14:paraId="14B99DB5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en-US"/>
        </w:rPr>
      </w:pPr>
      <w:r w:rsidRPr="009847E3">
        <w:rPr>
          <w:rFonts w:ascii="Calibri" w:eastAsia="Times New Roman" w:hAnsi="Calibri" w:cs="Calibri"/>
          <w:color w:val="auto"/>
          <w:sz w:val="22"/>
          <w:szCs w:val="22"/>
          <w:lang w:eastAsia="en-US"/>
        </w:rPr>
        <w:t>Tel.: +36 30 600 7576</w:t>
      </w:r>
    </w:p>
    <w:p w14:paraId="2FE3E2E6" w14:textId="77777777" w:rsidR="009847E3" w:rsidRPr="009847E3" w:rsidRDefault="009847E3" w:rsidP="009847E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9847E3">
        <w:rPr>
          <w:rFonts w:ascii="Calibri" w:eastAsia="Times New Roman" w:hAnsi="Calibri" w:cs="Calibri"/>
          <w:color w:val="auto"/>
          <w:sz w:val="22"/>
          <w:szCs w:val="22"/>
          <w:lang w:eastAsia="en-US"/>
        </w:rPr>
        <w:t xml:space="preserve">e-mail: </w:t>
      </w:r>
      <w:hyperlink r:id="rId7" w:history="1">
        <w:r w:rsidRPr="009847E3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eastAsia="en-US"/>
          </w:rPr>
          <w:t>meszaros.bernadett@mik.pte.hu</w:t>
        </w:r>
      </w:hyperlink>
    </w:p>
    <w:p w14:paraId="44449BEF" w14:textId="77777777" w:rsidR="007061E0" w:rsidRPr="009847E3" w:rsidRDefault="007061E0" w:rsidP="009847E3"/>
    <w:sectPr w:rsidR="007061E0" w:rsidRPr="009847E3" w:rsidSect="00971839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F9DC" w14:textId="77777777" w:rsidR="005D0038" w:rsidRDefault="005D0038">
      <w:r>
        <w:separator/>
      </w:r>
    </w:p>
  </w:endnote>
  <w:endnote w:type="continuationSeparator" w:id="0">
    <w:p w14:paraId="15167349" w14:textId="77777777" w:rsidR="005D0038" w:rsidRDefault="005D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3FF2" w14:textId="77777777" w:rsidR="005D0038" w:rsidRDefault="005D0038">
      <w:r>
        <w:separator/>
      </w:r>
    </w:p>
  </w:footnote>
  <w:footnote w:type="continuationSeparator" w:id="0">
    <w:p w14:paraId="09FA33BB" w14:textId="77777777" w:rsidR="005D0038" w:rsidRDefault="005D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04B7D5DB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428" cy="134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71779962">
    <w:abstractNumId w:val="0"/>
  </w:num>
  <w:num w:numId="2" w16cid:durableId="994185003">
    <w:abstractNumId w:val="2"/>
  </w:num>
  <w:num w:numId="3" w16cid:durableId="76508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6FCB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C69A3"/>
    <w:rsid w:val="001F36C0"/>
    <w:rsid w:val="002004BA"/>
    <w:rsid w:val="00203C0D"/>
    <w:rsid w:val="0022362D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42D9"/>
    <w:rsid w:val="002E3EA2"/>
    <w:rsid w:val="002E4D23"/>
    <w:rsid w:val="002E50FF"/>
    <w:rsid w:val="002E5665"/>
    <w:rsid w:val="0030099C"/>
    <w:rsid w:val="003059D0"/>
    <w:rsid w:val="00306592"/>
    <w:rsid w:val="0031138D"/>
    <w:rsid w:val="00323318"/>
    <w:rsid w:val="0032380C"/>
    <w:rsid w:val="003505AB"/>
    <w:rsid w:val="00363D83"/>
    <w:rsid w:val="003943B8"/>
    <w:rsid w:val="00394A87"/>
    <w:rsid w:val="00394C7A"/>
    <w:rsid w:val="003A2EA2"/>
    <w:rsid w:val="003B6D55"/>
    <w:rsid w:val="003C10DC"/>
    <w:rsid w:val="003D144C"/>
    <w:rsid w:val="003E2766"/>
    <w:rsid w:val="003E4760"/>
    <w:rsid w:val="003F30F9"/>
    <w:rsid w:val="00414D47"/>
    <w:rsid w:val="00420DA9"/>
    <w:rsid w:val="00422F7E"/>
    <w:rsid w:val="00425258"/>
    <w:rsid w:val="00434A38"/>
    <w:rsid w:val="0043770A"/>
    <w:rsid w:val="0045077C"/>
    <w:rsid w:val="0045077D"/>
    <w:rsid w:val="00466B4D"/>
    <w:rsid w:val="004851EB"/>
    <w:rsid w:val="004C4BC9"/>
    <w:rsid w:val="004D005E"/>
    <w:rsid w:val="004D277A"/>
    <w:rsid w:val="004E7D4D"/>
    <w:rsid w:val="004F6695"/>
    <w:rsid w:val="00506F26"/>
    <w:rsid w:val="0052318B"/>
    <w:rsid w:val="00523C9E"/>
    <w:rsid w:val="0053185D"/>
    <w:rsid w:val="0054779A"/>
    <w:rsid w:val="005642BE"/>
    <w:rsid w:val="00564A32"/>
    <w:rsid w:val="00565666"/>
    <w:rsid w:val="005715CE"/>
    <w:rsid w:val="00585A0E"/>
    <w:rsid w:val="00595B85"/>
    <w:rsid w:val="005B240A"/>
    <w:rsid w:val="005D0038"/>
    <w:rsid w:val="005D4A3F"/>
    <w:rsid w:val="005E0970"/>
    <w:rsid w:val="0060064B"/>
    <w:rsid w:val="00605FF7"/>
    <w:rsid w:val="0061332E"/>
    <w:rsid w:val="00625297"/>
    <w:rsid w:val="006312E8"/>
    <w:rsid w:val="00641A1C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36380"/>
    <w:rsid w:val="00745D6F"/>
    <w:rsid w:val="0077255B"/>
    <w:rsid w:val="00774F31"/>
    <w:rsid w:val="007A47AD"/>
    <w:rsid w:val="007C424A"/>
    <w:rsid w:val="007C4EA3"/>
    <w:rsid w:val="007F20CB"/>
    <w:rsid w:val="007F45EF"/>
    <w:rsid w:val="00824AC8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E328F"/>
    <w:rsid w:val="008E381D"/>
    <w:rsid w:val="0093513E"/>
    <w:rsid w:val="00957692"/>
    <w:rsid w:val="00971839"/>
    <w:rsid w:val="009847E3"/>
    <w:rsid w:val="00991B0E"/>
    <w:rsid w:val="00992F35"/>
    <w:rsid w:val="009C2B08"/>
    <w:rsid w:val="009D5B32"/>
    <w:rsid w:val="009E0CDC"/>
    <w:rsid w:val="009F6984"/>
    <w:rsid w:val="00A224A5"/>
    <w:rsid w:val="00A27A79"/>
    <w:rsid w:val="00A36E29"/>
    <w:rsid w:val="00A444F7"/>
    <w:rsid w:val="00AF607A"/>
    <w:rsid w:val="00B16162"/>
    <w:rsid w:val="00B22164"/>
    <w:rsid w:val="00B5375C"/>
    <w:rsid w:val="00B6364C"/>
    <w:rsid w:val="00BE03B1"/>
    <w:rsid w:val="00BF14B3"/>
    <w:rsid w:val="00C02334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72F79"/>
    <w:rsid w:val="00D7476D"/>
    <w:rsid w:val="00D80CC5"/>
    <w:rsid w:val="00DA158E"/>
    <w:rsid w:val="00DA7F43"/>
    <w:rsid w:val="00DF2FEF"/>
    <w:rsid w:val="00E465AE"/>
    <w:rsid w:val="00E46853"/>
    <w:rsid w:val="00E60077"/>
    <w:rsid w:val="00E6602B"/>
    <w:rsid w:val="00EC7D13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szaros.bernadett@mik.pt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3447</Characters>
  <Application>Microsoft Office Word</Application>
  <DocSecurity>0</DocSecurity>
  <Lines>49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ferling</dc:creator>
  <cp:keywords/>
  <cp:lastModifiedBy>Kis Tünde</cp:lastModifiedBy>
  <cp:revision>2</cp:revision>
  <cp:lastPrinted>2003-07-24T12:44:00Z</cp:lastPrinted>
  <dcterms:created xsi:type="dcterms:W3CDTF">2026-04-02T09:00:00Z</dcterms:created>
  <dcterms:modified xsi:type="dcterms:W3CDTF">2026-04-02T09:00:00Z</dcterms:modified>
</cp:coreProperties>
</file>