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546F578" w14:textId="77777777" w:rsidR="00726E54" w:rsidRPr="00726E54" w:rsidRDefault="00726E54" w:rsidP="00726E54">
      <w:pPr>
        <w:widowControl/>
        <w:suppressAutoHyphens w:val="0"/>
        <w:spacing w:line="259" w:lineRule="auto"/>
        <w:jc w:val="center"/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726E54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Az informatikai írástudás erősítésére ICDL vizsgaközpont alakult a PTE MIK-en</w:t>
      </w:r>
    </w:p>
    <w:p w14:paraId="3E4401E4" w14:textId="77777777" w:rsidR="00726E54" w:rsidRPr="00726E54" w:rsidRDefault="00726E54" w:rsidP="00726E54">
      <w:pPr>
        <w:widowControl/>
        <w:suppressAutoHyphens w:val="0"/>
        <w:spacing w:line="259" w:lineRule="auto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52096710" w14:textId="77777777" w:rsidR="00726E54" w:rsidRPr="00726E54" w:rsidRDefault="00726E54" w:rsidP="00726E54">
      <w:pPr>
        <w:widowControl/>
        <w:suppressAutoHyphens w:val="0"/>
        <w:spacing w:line="259" w:lineRule="auto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4DC3A57B" w14:textId="14FF4405" w:rsidR="00726E54" w:rsidRPr="00726E54" w:rsidRDefault="00726E54" w:rsidP="00726E5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726E5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 xml:space="preserve">A Neumann János Számítógéptudományi Társasággal (NJSZT) való együttműködés eredményeként ICDL vizsgaközpont kezdte meg működését április 1-jétől a Pécsi Tudományegyetem Műszaki és Informatikai Karán (PTE MIK). Az ICDL (International Computer </w:t>
      </w:r>
      <w:proofErr w:type="spellStart"/>
      <w:r w:rsidRPr="00726E5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Driving</w:t>
      </w:r>
      <w:proofErr w:type="spellEnd"/>
      <w:r w:rsidRPr="00726E5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 xml:space="preserve"> Licence) egy nemzetközileg elismert digitális kompetencia-tanúsítási rendszer, a világ több mint 100 országában működik, és széles körben elfogadott az oktatásban, valamint a munkaerőpiacon is. A PTE MIK-en most létrejött ICDL vizsgaközpont tanfolyamokat is hirdet az érdeklődők számára, ezzel új lehetőséget teremt arra, hogy a digitális kompetenciák fejlesztése és hiteles mérése még szélesebb körben váljon elérhetővé a térségben. Az NJSZT meghatározó szerepet tölt be az ICDL hazai rendszerének működtetésében, a karral fennálló mintegy 10 éves kapcsolatát az idei Pollack Expon az oktatás, a tehetséggondozás, a digitális készségfejlesztés és a közös szakmai innováció fejlesztésére megkötött együttműködési megállapodás aláírásával erősít</w:t>
      </w:r>
      <w:r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ette</w:t>
      </w:r>
      <w:r w:rsidRPr="00726E5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 xml:space="preserve"> meg.</w:t>
      </w:r>
    </w:p>
    <w:p w14:paraId="65B04343" w14:textId="77777777" w:rsidR="00726E54" w:rsidRPr="00726E54" w:rsidRDefault="00726E54" w:rsidP="00726E5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36114A8A" w14:textId="37838CAE" w:rsidR="00726E54" w:rsidRPr="00726E54" w:rsidRDefault="00726E54" w:rsidP="00726E5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726E5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Az 1968-ban alakult Neumann János Számítógéptudományi Társaság a hazai informatika egyik </w:t>
      </w:r>
      <w:proofErr w:type="spellStart"/>
      <w:r w:rsidRPr="00726E5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legrégebbi</w:t>
      </w:r>
      <w:proofErr w:type="spellEnd"/>
      <w:r w:rsidRPr="00726E5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, meghatározó szakmai közösségeként működik. Küldetése, hogy támogassa az informatikai kultúra fejlődését, erősítse a digitális kompetenciákat, segítse az oktatást, valamint ösztönözze a szakmai innovációt és az együttműködéseket. Az ICDL hazai rendszere mellett országos szakmai hálózatot működtet, versenyeket, tudományos és közösségi programokat szervez, többek között a dél-dunántúli régió egyik meghatározó mérnök- és informatikusképző központjával, a PTE MIK-kel már nyolc alkalommal rendezték meg középiskolások és egyetemisták számára a fiatal informatikai tehetségek felfedezését és támogatását segítő PROGRACE országos programozóversenyt. A két fél együttműködése az elmúlt években nemcsak a versenyszervezésben, hanem közös hazai és nemzetközi pályázatok előkészítésében és megvalósításában is megmutatkozott. Ezt a partnerséget mélyítik el a pécsi ICDL központ megnyitásával, valamint az idei Pollack Expon aláír</w:t>
      </w:r>
      <w:r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t</w:t>
      </w:r>
      <w:r w:rsidRPr="00726E5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 együttműködési megállapodással. </w:t>
      </w:r>
    </w:p>
    <w:p w14:paraId="50656ADF" w14:textId="77777777" w:rsidR="00726E54" w:rsidRPr="00726E54" w:rsidRDefault="00726E54" w:rsidP="00726E5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5DC1C593" w14:textId="61BC3FE0" w:rsidR="00726E54" w:rsidRDefault="00726E54" w:rsidP="00726E5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726E5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„Az ICDL</w:t>
      </w:r>
      <w:r w:rsidRPr="00726E54">
        <w:rPr>
          <w:rFonts w:ascii="Arial" w:eastAsia="Aptos" w:hAnsi="Arial" w:cs="Arial"/>
          <w:color w:val="363636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  <w:r w:rsidRPr="00726E5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az informatikai írástudás legszélesebb körben elismert, nemzetközileg egységes tanúsítványa, a számítógépes alapismeretektől a képszerkesztésen keresztül az IT-biztonságot magába foglaló alapmodulokat, a kódolási alapismereteket, robotikát is magában foglaló speciális, újgenerációs modulokat, valamint Advanced haladó szakmai modulokat lehet elsajátítani ennek keretében. A PTE MIK-en számítógépes és online alapismeretek, szövegszerkesztés, valamint táblázatkezelés oktatási kurzusokat tervezünk indítani, valamint hivatalos ICDL vizsgaközpontként is működünk. Karunk számára ez egy jó lehetőség arra, hogy a hallgatók nemzetközileg is értelmezhető digitális tanúsítványt szerezhessenek, a középiskolások az ICDL akkreditációval akár többletpontot kaphassanak számos egyetemi szakra való felvételi eljárásban, vagy a felnőtt munkavállalók, álláskeresők digitális kompetenciáik fejlesztésével helyzeti előnybe kerüljenek a munkaerőpiacon” – véli Gyurák Gábor, a PTE MIK mesteroktatója, a vizsgaközpont vezetője, aki hozzáteszi: a most megköt</w:t>
      </w:r>
      <w:r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ött</w:t>
      </w:r>
      <w:r w:rsidRPr="00726E5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 együttműködés a NJSZT több szakosztályával való szorosabb kapcsolat kiépítését is lehetővé teszi, ami a jövőben a fiatalok informatikai tudásának elmélyítését, szakmai tananyagok létrehozását, külföldi konferenciákon való részvételét is elősegíti. </w:t>
      </w:r>
    </w:p>
    <w:p w14:paraId="4B831892" w14:textId="77777777" w:rsidR="00AC653F" w:rsidRDefault="00AC653F" w:rsidP="00726E5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49AE45F5" w14:textId="50132E79" w:rsidR="00AC653F" w:rsidRPr="00AC653F" w:rsidRDefault="00AC653F" w:rsidP="00AC653F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i/>
          <w:i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AC653F">
        <w:rPr>
          <w:rFonts w:ascii="Calibri" w:eastAsia="Aptos" w:hAnsi="Calibri" w:cs="Calibri"/>
          <w:i/>
          <w:iCs/>
          <w:color w:val="auto"/>
          <w:kern w:val="2"/>
          <w:sz w:val="22"/>
          <w:szCs w:val="22"/>
          <w:lang w:eastAsia="en-US"/>
          <w14:ligatures w14:val="standardContextual"/>
        </w:rPr>
        <w:t>A mellékelt fotó a tavalyi PROGRACE versenyen készült.</w:t>
      </w:r>
    </w:p>
    <w:p w14:paraId="573C5727" w14:textId="77777777" w:rsidR="00AC653F" w:rsidRPr="00AC653F" w:rsidRDefault="00AC653F" w:rsidP="00AC653F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b/>
          <w:bCs/>
          <w:i/>
          <w:i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2F0C674A" w14:textId="77777777" w:rsidR="00AC653F" w:rsidRDefault="00AC653F" w:rsidP="00AC653F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4655952B" w14:textId="77777777" w:rsidR="00AC653F" w:rsidRDefault="00AC653F" w:rsidP="00AC653F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7372647B" w14:textId="12B8605D" w:rsidR="00AC653F" w:rsidRPr="00AC653F" w:rsidRDefault="00AC653F" w:rsidP="00AC653F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AC653F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lastRenderedPageBreak/>
        <w:t>További információ:</w:t>
      </w:r>
    </w:p>
    <w:p w14:paraId="0685BA59" w14:textId="77777777" w:rsidR="00AC653F" w:rsidRPr="00AC653F" w:rsidRDefault="00AC653F" w:rsidP="00AC653F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C653F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Gyurák Gábor mesteroktató — PTE MIK Hálózati és </w:t>
      </w:r>
      <w:proofErr w:type="spellStart"/>
      <w:r w:rsidRPr="00AC653F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Kiberbiztonsági</w:t>
      </w:r>
      <w:proofErr w:type="spellEnd"/>
      <w:r w:rsidRPr="00AC653F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 Tanszék, tanszékvezető</w:t>
      </w:r>
    </w:p>
    <w:p w14:paraId="534A9EF4" w14:textId="0E0C6E08" w:rsidR="00AC653F" w:rsidRPr="00AC653F" w:rsidRDefault="00AC653F" w:rsidP="00AC653F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C653F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Neumann János Számítógéptudományi Társaság, szakosztályvezető</w:t>
      </w:r>
    </w:p>
    <w:p w14:paraId="70C0E070" w14:textId="77777777" w:rsidR="00AC653F" w:rsidRPr="00AC653F" w:rsidRDefault="00AC653F" w:rsidP="00AC653F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C653F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e-mail: gyurak.gabor@mik.pte.hu</w:t>
      </w:r>
    </w:p>
    <w:p w14:paraId="326F14CF" w14:textId="77777777" w:rsidR="00AC653F" w:rsidRPr="00AC653F" w:rsidRDefault="00AC653F" w:rsidP="00AC653F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C653F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telefonszám: +36305145279</w:t>
      </w:r>
    </w:p>
    <w:p w14:paraId="6A7E273B" w14:textId="77777777" w:rsidR="00AC653F" w:rsidRPr="00AC653F" w:rsidRDefault="00AC653F" w:rsidP="00AC653F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16D1ED26" w14:textId="77777777" w:rsidR="00AC653F" w:rsidRPr="00726E54" w:rsidRDefault="00AC653F" w:rsidP="00726E5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6DC58D10" w14:textId="77777777" w:rsidR="00726E54" w:rsidRPr="00726E54" w:rsidRDefault="00726E54" w:rsidP="00726E5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44449BEF" w14:textId="77777777" w:rsidR="007061E0" w:rsidRPr="00726E54" w:rsidRDefault="007061E0" w:rsidP="00726E54"/>
    <w:sectPr w:rsidR="007061E0" w:rsidRPr="00726E54" w:rsidSect="00971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6" w:right="848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3D0F" w14:textId="77777777" w:rsidR="004835D0" w:rsidRDefault="004835D0">
      <w:r>
        <w:separator/>
      </w:r>
    </w:p>
  </w:endnote>
  <w:endnote w:type="continuationSeparator" w:id="0">
    <w:p w14:paraId="2591ECCA" w14:textId="77777777" w:rsidR="004835D0" w:rsidRDefault="0048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3D59" w14:textId="77777777" w:rsidR="007C424A" w:rsidRDefault="007C424A" w:rsidP="00016A1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B973D8" w14:textId="77777777" w:rsidR="007C424A" w:rsidRDefault="007C424A" w:rsidP="00016A1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2D71" w14:textId="7E4D525A" w:rsidR="00414D47" w:rsidRDefault="00414D47">
    <w:pPr>
      <w:pStyle w:val="llb"/>
    </w:pPr>
  </w:p>
  <w:p w14:paraId="61232B67" w14:textId="77777777" w:rsidR="00414D47" w:rsidRDefault="00414D4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74C3" w14:textId="77777777" w:rsidR="0058767D" w:rsidRDefault="005876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B66D" w14:textId="77777777" w:rsidR="004835D0" w:rsidRDefault="004835D0">
      <w:r>
        <w:separator/>
      </w:r>
    </w:p>
  </w:footnote>
  <w:footnote w:type="continuationSeparator" w:id="0">
    <w:p w14:paraId="0F9811B3" w14:textId="77777777" w:rsidR="004835D0" w:rsidRDefault="0048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3E3C" w14:textId="77777777" w:rsidR="0058767D" w:rsidRDefault="0058767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830C" w14:textId="49C5A8D6" w:rsidR="007C424A" w:rsidRDefault="00523C9E" w:rsidP="00414D47">
    <w:pPr>
      <w:pStyle w:val="lfej"/>
      <w:tabs>
        <w:tab w:val="left" w:pos="6237"/>
        <w:tab w:val="left" w:pos="6379"/>
      </w:tabs>
    </w:pPr>
    <w:r>
      <w:rPr>
        <w:noProof/>
      </w:rPr>
      <w:drawing>
        <wp:inline distT="0" distB="0" distL="0" distR="0" wp14:anchorId="0E164F10" wp14:editId="04B7D5DB">
          <wp:extent cx="3722077" cy="1340850"/>
          <wp:effectExtent l="0" t="0" r="0" b="0"/>
          <wp:docPr id="182534053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428" cy="1344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65434" w14:textId="77777777" w:rsidR="007C424A" w:rsidRDefault="007C424A" w:rsidP="004E7D4D">
    <w:pPr>
      <w:pStyle w:val="lfej"/>
      <w:tabs>
        <w:tab w:val="left" w:pos="595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FF9C" w14:textId="77777777" w:rsidR="0058767D" w:rsidRDefault="005876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lowerRoman"/>
      <w:pStyle w:val="Cmsor3"/>
      <w:suff w:val="nothing"/>
      <w:lvlText w:val="%3."/>
      <w:lvlJc w:val="right"/>
      <w:pPr>
        <w:ind w:left="216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661577"/>
    <w:multiLevelType w:val="hybridMultilevel"/>
    <w:tmpl w:val="659C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5B86"/>
    <w:multiLevelType w:val="hybridMultilevel"/>
    <w:tmpl w:val="2F86AB88"/>
    <w:lvl w:ilvl="0" w:tplc="EEF6F28A">
      <w:numFmt w:val="bullet"/>
      <w:lvlText w:val="-"/>
      <w:lvlJc w:val="left"/>
      <w:pPr>
        <w:ind w:left="1605" w:hanging="360"/>
      </w:pPr>
      <w:rPr>
        <w:rFonts w:ascii="Verdana" w:eastAsia="HG Mincho Light J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71779962">
    <w:abstractNumId w:val="0"/>
  </w:num>
  <w:num w:numId="2" w16cid:durableId="994185003">
    <w:abstractNumId w:val="2"/>
  </w:num>
  <w:num w:numId="3" w16cid:durableId="76508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5D"/>
    <w:rsid w:val="00002084"/>
    <w:rsid w:val="00012CF4"/>
    <w:rsid w:val="00016A13"/>
    <w:rsid w:val="00026131"/>
    <w:rsid w:val="00045F56"/>
    <w:rsid w:val="00060B52"/>
    <w:rsid w:val="000616BE"/>
    <w:rsid w:val="00064661"/>
    <w:rsid w:val="00076FCB"/>
    <w:rsid w:val="00091B28"/>
    <w:rsid w:val="00094555"/>
    <w:rsid w:val="00097C08"/>
    <w:rsid w:val="000A6E83"/>
    <w:rsid w:val="000A6FDA"/>
    <w:rsid w:val="000E40E1"/>
    <w:rsid w:val="000F5592"/>
    <w:rsid w:val="00106A10"/>
    <w:rsid w:val="001105F4"/>
    <w:rsid w:val="001142DA"/>
    <w:rsid w:val="0012155B"/>
    <w:rsid w:val="00124B74"/>
    <w:rsid w:val="00133D59"/>
    <w:rsid w:val="00143462"/>
    <w:rsid w:val="001735FD"/>
    <w:rsid w:val="001C69A3"/>
    <w:rsid w:val="001F36C0"/>
    <w:rsid w:val="002004BA"/>
    <w:rsid w:val="00203C0D"/>
    <w:rsid w:val="0022362D"/>
    <w:rsid w:val="0023509C"/>
    <w:rsid w:val="00252CA2"/>
    <w:rsid w:val="0027007C"/>
    <w:rsid w:val="00280068"/>
    <w:rsid w:val="00281FA5"/>
    <w:rsid w:val="002B7ADD"/>
    <w:rsid w:val="002B7F49"/>
    <w:rsid w:val="002C02D1"/>
    <w:rsid w:val="002C08D7"/>
    <w:rsid w:val="002C08F7"/>
    <w:rsid w:val="002C1A0F"/>
    <w:rsid w:val="002D42D9"/>
    <w:rsid w:val="002E3EA2"/>
    <w:rsid w:val="002E4D23"/>
    <w:rsid w:val="002E50FF"/>
    <w:rsid w:val="002E5665"/>
    <w:rsid w:val="0030099C"/>
    <w:rsid w:val="003059D0"/>
    <w:rsid w:val="00306592"/>
    <w:rsid w:val="0031138D"/>
    <w:rsid w:val="003125B9"/>
    <w:rsid w:val="00323318"/>
    <w:rsid w:val="0032380C"/>
    <w:rsid w:val="003505AB"/>
    <w:rsid w:val="00363D83"/>
    <w:rsid w:val="003943B8"/>
    <w:rsid w:val="00394A87"/>
    <w:rsid w:val="00394C7A"/>
    <w:rsid w:val="003A2EA2"/>
    <w:rsid w:val="003B6D55"/>
    <w:rsid w:val="003C10DC"/>
    <w:rsid w:val="003D144C"/>
    <w:rsid w:val="003E2766"/>
    <w:rsid w:val="003E4760"/>
    <w:rsid w:val="003F30F9"/>
    <w:rsid w:val="003F3A2B"/>
    <w:rsid w:val="00414D47"/>
    <w:rsid w:val="00420DA9"/>
    <w:rsid w:val="00422F7E"/>
    <w:rsid w:val="00425258"/>
    <w:rsid w:val="00434A38"/>
    <w:rsid w:val="0043770A"/>
    <w:rsid w:val="0045077C"/>
    <w:rsid w:val="0045077D"/>
    <w:rsid w:val="00466B4D"/>
    <w:rsid w:val="004835D0"/>
    <w:rsid w:val="004851EB"/>
    <w:rsid w:val="004C4BC9"/>
    <w:rsid w:val="004D005E"/>
    <w:rsid w:val="004D277A"/>
    <w:rsid w:val="004E7D4D"/>
    <w:rsid w:val="004F6695"/>
    <w:rsid w:val="00506F26"/>
    <w:rsid w:val="0052318B"/>
    <w:rsid w:val="00523C9E"/>
    <w:rsid w:val="0053185D"/>
    <w:rsid w:val="0054779A"/>
    <w:rsid w:val="005642BE"/>
    <w:rsid w:val="00564A32"/>
    <w:rsid w:val="00565666"/>
    <w:rsid w:val="00585A0E"/>
    <w:rsid w:val="0058767D"/>
    <w:rsid w:val="00595B85"/>
    <w:rsid w:val="005B240A"/>
    <w:rsid w:val="005D4A3F"/>
    <w:rsid w:val="005E0970"/>
    <w:rsid w:val="0060064B"/>
    <w:rsid w:val="00605FF7"/>
    <w:rsid w:val="0061332E"/>
    <w:rsid w:val="00625297"/>
    <w:rsid w:val="006312E8"/>
    <w:rsid w:val="00641A1C"/>
    <w:rsid w:val="00674DD7"/>
    <w:rsid w:val="00675A53"/>
    <w:rsid w:val="00681103"/>
    <w:rsid w:val="006B0025"/>
    <w:rsid w:val="006C508B"/>
    <w:rsid w:val="006D7241"/>
    <w:rsid w:val="006F4C11"/>
    <w:rsid w:val="007061E0"/>
    <w:rsid w:val="007104A2"/>
    <w:rsid w:val="00726E54"/>
    <w:rsid w:val="00736380"/>
    <w:rsid w:val="00745D6F"/>
    <w:rsid w:val="0077255B"/>
    <w:rsid w:val="00774F31"/>
    <w:rsid w:val="007A47AD"/>
    <w:rsid w:val="007C424A"/>
    <w:rsid w:val="007C4EA3"/>
    <w:rsid w:val="007F20CB"/>
    <w:rsid w:val="007F374F"/>
    <w:rsid w:val="007F45EF"/>
    <w:rsid w:val="00824AC8"/>
    <w:rsid w:val="00843A80"/>
    <w:rsid w:val="008461FC"/>
    <w:rsid w:val="00854848"/>
    <w:rsid w:val="00867E7C"/>
    <w:rsid w:val="008736BC"/>
    <w:rsid w:val="0088672E"/>
    <w:rsid w:val="00892AF3"/>
    <w:rsid w:val="008951FD"/>
    <w:rsid w:val="00897968"/>
    <w:rsid w:val="008A6FD5"/>
    <w:rsid w:val="008B283A"/>
    <w:rsid w:val="008B5E35"/>
    <w:rsid w:val="008E328F"/>
    <w:rsid w:val="008E381D"/>
    <w:rsid w:val="0093513E"/>
    <w:rsid w:val="00957692"/>
    <w:rsid w:val="00971839"/>
    <w:rsid w:val="00991B0E"/>
    <w:rsid w:val="00992F35"/>
    <w:rsid w:val="009C2B08"/>
    <w:rsid w:val="009D5B32"/>
    <w:rsid w:val="009E0CDC"/>
    <w:rsid w:val="009F6984"/>
    <w:rsid w:val="00A224A5"/>
    <w:rsid w:val="00A27A79"/>
    <w:rsid w:val="00A36E29"/>
    <w:rsid w:val="00A444F7"/>
    <w:rsid w:val="00AC653F"/>
    <w:rsid w:val="00AF607A"/>
    <w:rsid w:val="00B16162"/>
    <w:rsid w:val="00B22164"/>
    <w:rsid w:val="00B5375C"/>
    <w:rsid w:val="00B6364C"/>
    <w:rsid w:val="00BE03B1"/>
    <w:rsid w:val="00BF14B3"/>
    <w:rsid w:val="00C02334"/>
    <w:rsid w:val="00C03CAB"/>
    <w:rsid w:val="00C6282C"/>
    <w:rsid w:val="00C71123"/>
    <w:rsid w:val="00C8358E"/>
    <w:rsid w:val="00C87D0B"/>
    <w:rsid w:val="00C927DD"/>
    <w:rsid w:val="00CA31AB"/>
    <w:rsid w:val="00CA3481"/>
    <w:rsid w:val="00CC5B3D"/>
    <w:rsid w:val="00CC5E04"/>
    <w:rsid w:val="00CF121A"/>
    <w:rsid w:val="00CF2806"/>
    <w:rsid w:val="00D133A2"/>
    <w:rsid w:val="00D37031"/>
    <w:rsid w:val="00D370B0"/>
    <w:rsid w:val="00D72F79"/>
    <w:rsid w:val="00D7476D"/>
    <w:rsid w:val="00D80CC5"/>
    <w:rsid w:val="00DA158E"/>
    <w:rsid w:val="00DA7F43"/>
    <w:rsid w:val="00DF2FEF"/>
    <w:rsid w:val="00E465AE"/>
    <w:rsid w:val="00E46853"/>
    <w:rsid w:val="00E60077"/>
    <w:rsid w:val="00E6602B"/>
    <w:rsid w:val="00EC7D13"/>
    <w:rsid w:val="00ED58AF"/>
    <w:rsid w:val="00ED7BB3"/>
    <w:rsid w:val="00F11559"/>
    <w:rsid w:val="00F1526E"/>
    <w:rsid w:val="00F371CC"/>
    <w:rsid w:val="00F4504D"/>
    <w:rsid w:val="00F5414C"/>
    <w:rsid w:val="00F55558"/>
    <w:rsid w:val="00F91181"/>
    <w:rsid w:val="00F94A1F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85C87"/>
  <w15:chartTrackingRefBased/>
  <w15:docId w15:val="{F0FB3399-5B23-431B-8205-F437FEC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rFonts w:ascii="Tahoma" w:hAnsi="Tahoma"/>
      <w:b/>
      <w:sz w:val="84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rFonts w:ascii="Tahoma" w:hAnsi="Tahoma"/>
      <w:i/>
      <w:sz w:val="1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tabs>
        <w:tab w:val="right" w:pos="5607"/>
      </w:tabs>
      <w:spacing w:line="360" w:lineRule="auto"/>
      <w:ind w:left="2727"/>
      <w:jc w:val="both"/>
      <w:outlineLvl w:val="2"/>
    </w:pPr>
    <w:rPr>
      <w:rFonts w:ascii="Times New Roman" w:hAnsi="Times New Roman"/>
      <w:b/>
    </w:rPr>
  </w:style>
  <w:style w:type="paragraph" w:styleId="Cmsor7">
    <w:name w:val="heading 7"/>
    <w:basedOn w:val="Norml"/>
    <w:next w:val="Norml"/>
    <w:qFormat/>
    <w:pPr>
      <w:keepNext/>
      <w:widowControl/>
      <w:numPr>
        <w:ilvl w:val="6"/>
        <w:numId w:val="1"/>
      </w:numPr>
      <w:suppressAutoHyphens w:val="0"/>
      <w:outlineLvl w:val="6"/>
    </w:pPr>
    <w:rPr>
      <w:rFonts w:ascii="Tahoma" w:hAnsi="Tahoma"/>
      <w:i/>
      <w:color w:val="C0C0C0"/>
      <w:kern w:val="20481"/>
      <w:sz w:val="1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Kerettartalom">
    <w:name w:val="Kerettartalom"/>
    <w:basedOn w:val="Szvegtrzs"/>
  </w:style>
  <w:style w:type="paragraph" w:customStyle="1" w:styleId="Vzszintesvonal">
    <w:name w:val="Vízszintes vonal"/>
    <w:basedOn w:val="Norml"/>
    <w:next w:val="Szvegtrzs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Cmsoralap">
    <w:name w:val="Címsor alap"/>
    <w:basedOn w:val="Szvegtrzs"/>
    <w:next w:val="Szvegtrzs"/>
    <w:pPr>
      <w:keepNext/>
      <w:keepLines/>
      <w:spacing w:after="0"/>
      <w:jc w:val="left"/>
    </w:pPr>
    <w:rPr>
      <w:rFonts w:ascii="Arial Black" w:hAnsi="Arial Black"/>
      <w:spacing w:val="-10"/>
    </w:r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rPr>
      <w:rFonts w:ascii="Times New Roman" w:hAnsi="Times New Roman"/>
      <w:sz w:val="22"/>
    </w:rPr>
  </w:style>
  <w:style w:type="paragraph" w:styleId="llb">
    <w:name w:val="footer"/>
    <w:basedOn w:val="Norml"/>
    <w:link w:val="llbChar"/>
    <w:uiPriority w:val="99"/>
    <w:rsid w:val="00016A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6A13"/>
  </w:style>
  <w:style w:type="paragraph" w:styleId="lfej">
    <w:name w:val="header"/>
    <w:basedOn w:val="Norml"/>
    <w:link w:val="lfejChar"/>
    <w:uiPriority w:val="99"/>
    <w:rsid w:val="00016A13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7A47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lfejChar">
    <w:name w:val="Élőfej Char"/>
    <w:link w:val="lfej"/>
    <w:uiPriority w:val="99"/>
    <w:rsid w:val="007F20CB"/>
    <w:rPr>
      <w:rFonts w:ascii="Thorndale" w:eastAsia="HG Mincho Light J" w:hAnsi="Thorndale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20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20C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llbChar">
    <w:name w:val="Élőláb Char"/>
    <w:link w:val="llb"/>
    <w:uiPriority w:val="99"/>
    <w:rsid w:val="00414D47"/>
    <w:rPr>
      <w:rFonts w:ascii="Thorndale" w:eastAsia="HG Mincho Light J" w:hAnsi="Thornda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FAX</vt:lpstr>
    </vt:vector>
  </TitlesOfParts>
  <Company>Ferling PR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PTE_MIK</dc:creator>
  <cp:keywords/>
  <cp:lastModifiedBy>Kis Tünde</cp:lastModifiedBy>
  <cp:revision>2</cp:revision>
  <cp:lastPrinted>2003-07-24T12:44:00Z</cp:lastPrinted>
  <dcterms:created xsi:type="dcterms:W3CDTF">2026-04-21T06:20:00Z</dcterms:created>
  <dcterms:modified xsi:type="dcterms:W3CDTF">2026-04-21T06:20:00Z</dcterms:modified>
</cp:coreProperties>
</file>