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2BB35732" w14:textId="77777777" w:rsidR="005F14D2" w:rsidRPr="005F14D2" w:rsidRDefault="005F14D2" w:rsidP="005F14D2">
      <w:pPr>
        <w:widowControl/>
        <w:suppressAutoHyphens w:val="0"/>
        <w:spacing w:line="259" w:lineRule="auto"/>
        <w:jc w:val="center"/>
        <w:rPr>
          <w:rFonts w:ascii="Calibri" w:eastAsia="Times New Roman" w:hAnsi="Calibri" w:cs="Calibri"/>
          <w:b/>
          <w:bCs/>
          <w:color w:val="auto"/>
          <w:kern w:val="2"/>
          <w:sz w:val="28"/>
          <w:szCs w:val="28"/>
          <w:lang w:eastAsia="en-US"/>
        </w:rPr>
      </w:pPr>
      <w:r w:rsidRPr="005F14D2">
        <w:rPr>
          <w:rFonts w:ascii="Calibri" w:eastAsia="Times New Roman" w:hAnsi="Calibri" w:cs="Calibri"/>
          <w:b/>
          <w:bCs/>
          <w:color w:val="auto"/>
          <w:kern w:val="2"/>
          <w:sz w:val="28"/>
          <w:szCs w:val="28"/>
          <w:lang w:eastAsia="en-US"/>
        </w:rPr>
        <w:t>Mindenre kiterjedő mentorhálózat támogatja a hallgatókat a PTE MIK-en</w:t>
      </w:r>
    </w:p>
    <w:p w14:paraId="1A24D88E" w14:textId="77777777" w:rsidR="005F14D2" w:rsidRPr="005F14D2" w:rsidRDefault="005F14D2" w:rsidP="005F14D2">
      <w:pPr>
        <w:widowControl/>
        <w:suppressAutoHyphens w:val="0"/>
        <w:spacing w:line="259" w:lineRule="auto"/>
        <w:rPr>
          <w:rFonts w:ascii="Calibri" w:eastAsia="Times New Roman" w:hAnsi="Calibri" w:cs="Calibri"/>
          <w:color w:val="auto"/>
          <w:kern w:val="2"/>
          <w:sz w:val="22"/>
          <w:szCs w:val="22"/>
          <w:lang w:eastAsia="en-US"/>
        </w:rPr>
      </w:pPr>
    </w:p>
    <w:p w14:paraId="12948CB1" w14:textId="77777777" w:rsidR="005F14D2" w:rsidRPr="005F14D2" w:rsidRDefault="005F14D2" w:rsidP="005F14D2">
      <w:pPr>
        <w:widowControl/>
        <w:suppressAutoHyphens w:val="0"/>
        <w:spacing w:line="259" w:lineRule="auto"/>
        <w:rPr>
          <w:rFonts w:ascii="Calibri" w:eastAsia="Times New Roman" w:hAnsi="Calibri" w:cs="Calibri"/>
          <w:color w:val="auto"/>
          <w:kern w:val="2"/>
          <w:sz w:val="22"/>
          <w:szCs w:val="22"/>
          <w:lang w:eastAsia="en-US"/>
        </w:rPr>
      </w:pPr>
    </w:p>
    <w:p w14:paraId="67E61241" w14:textId="0C7B337E" w:rsidR="005F14D2" w:rsidRPr="005F14D2" w:rsidRDefault="005F14D2" w:rsidP="005F14D2">
      <w:pPr>
        <w:widowControl/>
        <w:suppressAutoHyphens w:val="0"/>
        <w:spacing w:line="259" w:lineRule="auto"/>
        <w:jc w:val="both"/>
        <w:rPr>
          <w:rFonts w:ascii="Calibri" w:eastAsia="Times New Roman" w:hAnsi="Calibri" w:cs="Calibri"/>
          <w:b/>
          <w:bCs/>
          <w:color w:val="auto"/>
          <w:kern w:val="2"/>
          <w:sz w:val="22"/>
          <w:szCs w:val="22"/>
          <w:lang w:eastAsia="en-US"/>
        </w:rPr>
      </w:pPr>
      <w:r w:rsidRPr="005F14D2">
        <w:rPr>
          <w:rFonts w:ascii="Calibri" w:eastAsia="Times New Roman" w:hAnsi="Calibri" w:cs="Calibri"/>
          <w:b/>
          <w:bCs/>
          <w:color w:val="auto"/>
          <w:kern w:val="2"/>
          <w:sz w:val="22"/>
          <w:szCs w:val="22"/>
          <w:lang w:eastAsia="en-US"/>
        </w:rPr>
        <w:t xml:space="preserve">Tanulmányi elakadások, szociális körülményekből vagy megváltozott élethelyzetből adódó nehézségek, pályaválasztással kapcsolatos bizonytalanságok – a leggyakrabban ezekkel a problémákkal szembesülnek a Pécsi Tudományegyetem Műszaki és Informatikai Karának (PTE MIK) mentorai, akik sokszor már akkor észlelik, hogy egy hallgatónak nehézségei lesznek, amikor az érintett még tudatosan nem szembesül a problémával. Az oktatókat, hallgatókat, kari munkatársakat és a kari vezetést magában foglaló mentorhálózat a PTE-n zajló, a szolgáltató egyetem irányába mutató kultúraváltás része, és hosszú évek óta sikerrel működik az intézményben. Hatékonyságát mi sem bizonyítja jobban, </w:t>
      </w:r>
      <w:r>
        <w:rPr>
          <w:rFonts w:ascii="Calibri" w:eastAsia="Times New Roman" w:hAnsi="Calibri" w:cs="Calibri"/>
          <w:b/>
          <w:bCs/>
          <w:color w:val="auto"/>
          <w:kern w:val="2"/>
          <w:sz w:val="22"/>
          <w:szCs w:val="22"/>
          <w:lang w:eastAsia="en-US"/>
        </w:rPr>
        <w:t>mint</w:t>
      </w:r>
      <w:r w:rsidRPr="005F14D2">
        <w:rPr>
          <w:rFonts w:ascii="Calibri" w:eastAsia="Times New Roman" w:hAnsi="Calibri" w:cs="Calibri"/>
          <w:b/>
          <w:bCs/>
          <w:color w:val="auto"/>
          <w:kern w:val="2"/>
          <w:sz w:val="22"/>
          <w:szCs w:val="22"/>
          <w:lang w:eastAsia="en-US"/>
        </w:rPr>
        <w:t>hogy számos esetben sikerült a kihívások miatt az oktatási rendszert elhagyni készülő hallgatókat szakszerű támogatással hozzásegíteni a tanulmányaik befejezéséhez.</w:t>
      </w:r>
    </w:p>
    <w:p w14:paraId="00572B0C" w14:textId="77777777"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p>
    <w:p w14:paraId="2B1B2043" w14:textId="6C04F461"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r w:rsidRPr="005F14D2">
        <w:rPr>
          <w:rFonts w:ascii="Calibri" w:eastAsia="Times New Roman" w:hAnsi="Calibri" w:cs="Calibri"/>
          <w:color w:val="auto"/>
          <w:kern w:val="2"/>
          <w:sz w:val="22"/>
          <w:szCs w:val="22"/>
          <w:lang w:eastAsia="en-US"/>
        </w:rPr>
        <w:t>A 2018-ban az oktatók és kari munkatársak által mentorklubként működtetett támogatórendszer mára komoly mentorhálózattá, egy többrétű szervezetté fejlődött a PTE MIK-en. A mentorprogramnak hallgatómentorok, diáktanárok, oktatómentorok és a különböző feladattal megbízott adminisztratív dolgozók ugyanúgy részesei, mint a karvezetés, illetve az egyes intézetek vezetői. Célja, hogy azok a hallgatók, akik az egyetemi tanulmányaik során bármilyen – pl. szociális, magánéleti, tanulmányi – problémával szembesülnek és ez elakadást jelent a mindennapjaikban, a teljesítményükben, a mentorok segítségével megoldási lehetőségeket találjanak rájuk. Ezzel az intézmény a lemorzsolódás mértékének csökkentése mellett azt is szeretné elérni, hogy a hallgatók érezzék: egy közösség részei, ahol probléma esetén segítséget kaphatnak. A mentorrendszer a tehetséggondozást is támogatja, többek között e</w:t>
      </w:r>
      <w:r>
        <w:rPr>
          <w:rFonts w:ascii="Calibri" w:eastAsia="Times New Roman" w:hAnsi="Calibri" w:cs="Calibri"/>
          <w:color w:val="auto"/>
          <w:kern w:val="2"/>
          <w:sz w:val="22"/>
          <w:szCs w:val="22"/>
          <w:lang w:eastAsia="en-US"/>
        </w:rPr>
        <w:t xml:space="preserve">záltal </w:t>
      </w:r>
      <w:r w:rsidRPr="005F14D2">
        <w:rPr>
          <w:rFonts w:ascii="Calibri" w:eastAsia="Times New Roman" w:hAnsi="Calibri" w:cs="Calibri"/>
          <w:color w:val="auto"/>
          <w:kern w:val="2"/>
          <w:sz w:val="22"/>
          <w:szCs w:val="22"/>
          <w:lang w:eastAsia="en-US"/>
        </w:rPr>
        <w:t xml:space="preserve">derítik fel a karon tanulók között azokat, akik akár tudományos, akár közösségi munkát végeznének, </w:t>
      </w:r>
      <w:r>
        <w:rPr>
          <w:rFonts w:ascii="Calibri" w:eastAsia="Times New Roman" w:hAnsi="Calibri" w:cs="Calibri"/>
          <w:color w:val="auto"/>
          <w:kern w:val="2"/>
          <w:sz w:val="22"/>
          <w:szCs w:val="22"/>
          <w:lang w:eastAsia="en-US"/>
        </w:rPr>
        <w:t>netalán</w:t>
      </w:r>
      <w:r w:rsidRPr="005F14D2">
        <w:rPr>
          <w:rFonts w:ascii="Calibri" w:eastAsia="Times New Roman" w:hAnsi="Calibri" w:cs="Calibri"/>
          <w:color w:val="auto"/>
          <w:kern w:val="2"/>
          <w:sz w:val="22"/>
          <w:szCs w:val="22"/>
          <w:lang w:eastAsia="en-US"/>
        </w:rPr>
        <w:t xml:space="preserve"> érdemes lenne folytatniuk a tanulmányaikat mesterszakon vagy a doktori képzésben. </w:t>
      </w:r>
    </w:p>
    <w:p w14:paraId="4AB166F5" w14:textId="77777777"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p>
    <w:p w14:paraId="12C7AB36" w14:textId="15202101"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r w:rsidRPr="005F14D2">
        <w:rPr>
          <w:rFonts w:ascii="Calibri" w:eastAsia="Times New Roman" w:hAnsi="Calibri" w:cs="Calibri"/>
          <w:color w:val="auto"/>
          <w:kern w:val="2"/>
          <w:sz w:val="22"/>
          <w:szCs w:val="22"/>
          <w:lang w:eastAsia="en-US"/>
        </w:rPr>
        <w:t>A kari mentorhálózat „belépő szintje” a hallgatói mentorok csoportja, amely minden szakon megtalálható. Tagjai jobbára a tapasztaltabb felsőbb éves hallgatók közül kerülnek ki</w:t>
      </w:r>
      <w:r>
        <w:rPr>
          <w:rFonts w:ascii="Calibri" w:eastAsia="Times New Roman" w:hAnsi="Calibri" w:cs="Calibri"/>
          <w:color w:val="auto"/>
          <w:kern w:val="2"/>
          <w:sz w:val="22"/>
          <w:szCs w:val="22"/>
          <w:lang w:eastAsia="en-US"/>
        </w:rPr>
        <w:t>,</w:t>
      </w:r>
      <w:r w:rsidRPr="005F14D2">
        <w:rPr>
          <w:rFonts w:ascii="Calibri" w:eastAsia="Times New Roman" w:hAnsi="Calibri" w:cs="Calibri"/>
          <w:color w:val="auto"/>
          <w:kern w:val="2"/>
          <w:sz w:val="22"/>
          <w:szCs w:val="22"/>
          <w:lang w:eastAsia="en-US"/>
        </w:rPr>
        <w:t xml:space="preserve"> és a munkájuk ellátásához többfajta képzésben részesülnek. Ösztöndíjprogram keretében dolgoznak, akár a tanulmányokkal kapcsolatban – sok esetben korrepetálással –, akár támogató beszélgetésekkel segítik diáktársaikat. Mivel maguk is hallgatók, közel állnak a karon tanulókhoz, így könnyen elnyerik a segítségre szorulók bizalmát és hamar meglátják, hogy esetleg kinek van szüksége támogatásra. Gyakran találkoznak a tevékenységi körükön túlmutató problémával, ilyenkor el tudják irányítani a megfelelő szakemberhez a segítségre szorulót. Az oktatómentorok többnyire a tanulmányi elakadásokkal kapcsolatban segítik a hallgatókat, de a tanulmányi rendszerből is kapnak jelzést, hogy valakinél probléma merülhet fel, mert várhatóan nem fogja tudni teljesíteni az előírt követelményeket. Előfordul, hogy a hallgatók nem mindig követik a tanulmányi előrehaladásukat, ami a képzési idő alatt súlyos nehézségekhez vezethet. Az oktatómentorok a kar vezetésével és a Tanulmányi Csoporttal együttműködve tudnak támogatást nyújtani az adott hallgatónak.</w:t>
      </w:r>
    </w:p>
    <w:p w14:paraId="10FFE0CE" w14:textId="77777777"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p>
    <w:p w14:paraId="435FFC6D" w14:textId="66EA3877"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r w:rsidRPr="005F14D2">
        <w:rPr>
          <w:rFonts w:ascii="Calibri" w:eastAsia="Times New Roman" w:hAnsi="Calibri" w:cs="Calibri"/>
          <w:color w:val="auto"/>
          <w:kern w:val="2"/>
          <w:sz w:val="22"/>
          <w:szCs w:val="22"/>
          <w:lang w:eastAsia="en-US"/>
        </w:rPr>
        <w:t xml:space="preserve">„A legtöbb esetben nem a tanulmányok teljesítésével vagy egy oktatóval kapcsolatos problémával fordulnak a mentorokhoz a hallgatók, sokkal inkább egy előállt élethelyzettel összefüggésben. Van, aki elbizonytalanodik, mert esetleg megváltoztak a családi körülményei, és nem tudja, hogy így képes-e folytatni az egyetemet. Van, akinek egy komplett tanulmányi előrehaladási tervet állítunk össze, amivel már teljesíthetőnek látja az elvárásokat, másnak azt javasoljuk, hogy ne kapkodja el az egyetemmel való szakítást és egy passzív félév alatt gondolja át a döntéseit. Volt olyan esetünk is, amikor valaki azt fontolgatta, hogy abbahagyja az alapképzést, mert az nehéz volt számára, az elől viszont nem zárkózott el, hogy egy felsőfokú szakképzésben (FOKSZ) folytassa a tanulmányait. Az </w:t>
      </w:r>
      <w:r w:rsidRPr="005F14D2">
        <w:rPr>
          <w:rFonts w:ascii="Calibri" w:eastAsia="Times New Roman" w:hAnsi="Calibri" w:cs="Calibri"/>
          <w:color w:val="auto"/>
          <w:kern w:val="2"/>
          <w:sz w:val="22"/>
          <w:szCs w:val="22"/>
          <w:lang w:eastAsia="en-US"/>
        </w:rPr>
        <w:lastRenderedPageBreak/>
        <w:t xml:space="preserve">utóbbi években jellemző, hogy az egyetemi tanulmányok végzése mellett a létfenntartásuk vagy a tanulmányaik finanszírozása érdekében akár rész- vagy teljes munkaidőben dolgoznak a hallgatók, és nehezen tudják összeegyeztetni a kettőt – ennek megoldásában kérnek segítséget. Tavaly éppen egy egyetem–munka–magánélet tréninget szerveztünk </w:t>
      </w:r>
      <w:r>
        <w:rPr>
          <w:rFonts w:ascii="Calibri" w:eastAsia="Times New Roman" w:hAnsi="Calibri" w:cs="Calibri"/>
          <w:color w:val="auto"/>
          <w:kern w:val="2"/>
          <w:sz w:val="22"/>
          <w:szCs w:val="22"/>
          <w:lang w:eastAsia="en-US"/>
        </w:rPr>
        <w:t>számukra</w:t>
      </w:r>
      <w:r w:rsidRPr="005F14D2">
        <w:rPr>
          <w:rFonts w:ascii="Calibri" w:eastAsia="Times New Roman" w:hAnsi="Calibri" w:cs="Calibri"/>
          <w:color w:val="auto"/>
          <w:kern w:val="2"/>
          <w:sz w:val="22"/>
          <w:szCs w:val="22"/>
          <w:lang w:eastAsia="en-US"/>
        </w:rPr>
        <w:t xml:space="preserve">, ahol olyan módszereket sajátítottak el, amelyek </w:t>
      </w:r>
      <w:r>
        <w:rPr>
          <w:rFonts w:ascii="Calibri" w:eastAsia="Times New Roman" w:hAnsi="Calibri" w:cs="Calibri"/>
          <w:color w:val="auto"/>
          <w:kern w:val="2"/>
          <w:sz w:val="22"/>
          <w:szCs w:val="22"/>
          <w:lang w:eastAsia="en-US"/>
        </w:rPr>
        <w:t>alkalmazásával</w:t>
      </w:r>
      <w:r w:rsidRPr="005F14D2">
        <w:rPr>
          <w:rFonts w:ascii="Calibri" w:eastAsia="Times New Roman" w:hAnsi="Calibri" w:cs="Calibri"/>
          <w:color w:val="auto"/>
          <w:kern w:val="2"/>
          <w:sz w:val="22"/>
          <w:szCs w:val="22"/>
          <w:lang w:eastAsia="en-US"/>
        </w:rPr>
        <w:t xml:space="preserve"> összeegyeztethetők a sokszor kényszerű kihívások” – vázolja Udvardi Péter oktatómentor, hogy milyen helyzetekben kell helyt állniuk mentorként. </w:t>
      </w:r>
    </w:p>
    <w:p w14:paraId="5463C746" w14:textId="77777777"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p>
    <w:p w14:paraId="12E0B4EE" w14:textId="77777777" w:rsidR="005F14D2" w:rsidRPr="005F14D2" w:rsidRDefault="005F14D2" w:rsidP="005F14D2">
      <w:pPr>
        <w:widowControl/>
        <w:suppressAutoHyphens w:val="0"/>
        <w:spacing w:line="259" w:lineRule="auto"/>
        <w:jc w:val="both"/>
        <w:rPr>
          <w:rFonts w:ascii="Calibri" w:eastAsia="Times New Roman" w:hAnsi="Calibri" w:cs="Calibri"/>
          <w:color w:val="auto"/>
          <w:kern w:val="2"/>
          <w:sz w:val="22"/>
          <w:szCs w:val="22"/>
          <w:lang w:eastAsia="en-US"/>
        </w:rPr>
      </w:pPr>
      <w:r w:rsidRPr="005F14D2">
        <w:rPr>
          <w:rFonts w:ascii="Calibri" w:eastAsia="Times New Roman" w:hAnsi="Calibri" w:cs="Calibri"/>
          <w:color w:val="auto"/>
          <w:kern w:val="2"/>
          <w:sz w:val="22"/>
          <w:szCs w:val="22"/>
          <w:lang w:eastAsia="en-US"/>
        </w:rPr>
        <w:t xml:space="preserve">A hallgató- és oktatómentorok a mentortanács éves munkaterve szerint meghatározott képzéseken, tréningeken vesznek részt, ahol a mentoráláshoz szükséges kompetenciájukat fejlesztik. Mégis talán a legfontosabb az empátia, a bizalom és a kommunikációs képességek sajátos elegye, aminek birtokában sikeresen végezhető ez a munka. „Az oktatásban szükségszerű a hierarchikus viszony, ez azonban nem jelenti azt, hogy a hallgatókra ne partnerként, kollégaként tekintenénk. A hallgatók sikerei egyben az oktatók sikereit is jelenti, ezért minden egyetemi oktató egyben mentor is, még ha nem is »címkézett« formában végzi ezt a tevékenységet” – teszi hozzá Udvardi Péter, aki azt is megjegyzi: a kari mentorprogram sikeressége objektív számokkal is igazolható, azonban a számokon túl a legfontosabbak mégis azok a hallgatók, akiket egy élethelyzetből adódó elakadásukon átsegítenek. </w:t>
      </w:r>
    </w:p>
    <w:p w14:paraId="44449BEF" w14:textId="77777777" w:rsidR="007061E0" w:rsidRDefault="007061E0" w:rsidP="005F14D2"/>
    <w:p w14:paraId="05B7A058" w14:textId="59C2D6B4" w:rsidR="005F14D2" w:rsidRDefault="005F14D2" w:rsidP="005F14D2">
      <w:pPr>
        <w:rPr>
          <w:rFonts w:asciiTheme="minorHAnsi" w:hAnsiTheme="minorHAnsi" w:cstheme="minorHAnsi"/>
          <w:b/>
          <w:bCs/>
          <w:sz w:val="28"/>
          <w:szCs w:val="28"/>
        </w:rPr>
      </w:pPr>
      <w:r w:rsidRPr="005F14D2">
        <w:rPr>
          <w:rFonts w:asciiTheme="minorHAnsi" w:hAnsiTheme="minorHAnsi" w:cstheme="minorHAnsi"/>
          <w:b/>
          <w:bCs/>
          <w:sz w:val="28"/>
          <w:szCs w:val="28"/>
        </w:rPr>
        <w:t>További információ a sajtó számára:</w:t>
      </w:r>
    </w:p>
    <w:p w14:paraId="2F7FDAB0" w14:textId="37A218F5" w:rsidR="005F14D2" w:rsidRDefault="005F14D2" w:rsidP="005F14D2">
      <w:pPr>
        <w:rPr>
          <w:rFonts w:asciiTheme="minorHAnsi" w:hAnsiTheme="minorHAnsi" w:cstheme="minorHAnsi"/>
          <w:sz w:val="22"/>
          <w:szCs w:val="22"/>
        </w:rPr>
      </w:pPr>
      <w:r>
        <w:rPr>
          <w:rFonts w:asciiTheme="minorHAnsi" w:hAnsiTheme="minorHAnsi" w:cstheme="minorHAnsi"/>
          <w:sz w:val="22"/>
          <w:szCs w:val="22"/>
        </w:rPr>
        <w:t>Udvardi Péter oktatómentor – PTE MIK</w:t>
      </w:r>
    </w:p>
    <w:p w14:paraId="15D6C2D2" w14:textId="77208BE5" w:rsidR="005F14D2" w:rsidRDefault="005F14D2" w:rsidP="005F14D2">
      <w:pPr>
        <w:rPr>
          <w:rFonts w:asciiTheme="minorHAnsi" w:hAnsiTheme="minorHAnsi" w:cstheme="minorHAnsi"/>
          <w:sz w:val="22"/>
          <w:szCs w:val="22"/>
        </w:rPr>
      </w:pPr>
      <w:r>
        <w:rPr>
          <w:rFonts w:asciiTheme="minorHAnsi" w:hAnsiTheme="minorHAnsi" w:cstheme="minorHAnsi"/>
          <w:sz w:val="22"/>
          <w:szCs w:val="22"/>
        </w:rPr>
        <w:t>telefon: +3670 643 0975</w:t>
      </w:r>
    </w:p>
    <w:p w14:paraId="6A6497DC" w14:textId="5377A845" w:rsidR="005F14D2" w:rsidRPr="005F14D2" w:rsidRDefault="005F14D2" w:rsidP="005F14D2">
      <w:pPr>
        <w:rPr>
          <w:rFonts w:asciiTheme="minorHAnsi" w:hAnsiTheme="minorHAnsi" w:cstheme="minorHAnsi"/>
          <w:sz w:val="22"/>
          <w:szCs w:val="22"/>
        </w:rPr>
      </w:pPr>
      <w:r>
        <w:rPr>
          <w:rFonts w:asciiTheme="minorHAnsi" w:hAnsiTheme="minorHAnsi" w:cstheme="minorHAnsi"/>
          <w:sz w:val="22"/>
          <w:szCs w:val="22"/>
        </w:rPr>
        <w:t>e-mail: udvardi.peter@mik.pte.hu</w:t>
      </w:r>
    </w:p>
    <w:sectPr w:rsidR="005F14D2" w:rsidRPr="005F14D2" w:rsidSect="00971839">
      <w:headerReference w:type="default" r:id="rId7"/>
      <w:footerReference w:type="even" r:id="rId8"/>
      <w:footerReference w:type="default" r:id="rId9"/>
      <w:footnotePr>
        <w:pos w:val="beneathText"/>
      </w:footnotePr>
      <w:pgSz w:w="11905" w:h="16837"/>
      <w:pgMar w:top="126" w:right="848" w:bottom="1134"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17BE" w14:textId="77777777" w:rsidR="00B64E36" w:rsidRDefault="00B64E36">
      <w:r>
        <w:separator/>
      </w:r>
    </w:p>
  </w:endnote>
  <w:endnote w:type="continuationSeparator" w:id="0">
    <w:p w14:paraId="19B3A7A1" w14:textId="77777777" w:rsidR="00B64E36" w:rsidRDefault="00B6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D59" w14:textId="77777777" w:rsidR="007C424A" w:rsidRDefault="007C424A" w:rsidP="00016A1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EB973D8" w14:textId="77777777" w:rsidR="007C424A" w:rsidRDefault="007C424A" w:rsidP="00016A13">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D71" w14:textId="7E4D525A" w:rsidR="00414D47" w:rsidRDefault="00414D47">
    <w:pPr>
      <w:pStyle w:val="llb"/>
    </w:pPr>
  </w:p>
  <w:p w14:paraId="61232B67" w14:textId="77777777" w:rsidR="00414D47" w:rsidRDefault="00414D4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6935" w14:textId="77777777" w:rsidR="00B64E36" w:rsidRDefault="00B64E36">
      <w:r>
        <w:separator/>
      </w:r>
    </w:p>
  </w:footnote>
  <w:footnote w:type="continuationSeparator" w:id="0">
    <w:p w14:paraId="7541E5F8" w14:textId="77777777" w:rsidR="00B64E36" w:rsidRDefault="00B6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830C" w14:textId="49C5A8D6" w:rsidR="007C424A" w:rsidRDefault="00523C9E" w:rsidP="00414D47">
    <w:pPr>
      <w:pStyle w:val="lfej"/>
      <w:tabs>
        <w:tab w:val="left" w:pos="6237"/>
        <w:tab w:val="left" w:pos="6379"/>
      </w:tabs>
    </w:pPr>
    <w:r>
      <w:rPr>
        <w:noProof/>
      </w:rPr>
      <w:drawing>
        <wp:inline distT="0" distB="0" distL="0" distR="0" wp14:anchorId="0E164F10" wp14:editId="04B7D5DB">
          <wp:extent cx="3722077" cy="1340850"/>
          <wp:effectExtent l="0" t="0" r="0" b="0"/>
          <wp:docPr id="182534053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428" cy="1344939"/>
                  </a:xfrm>
                  <a:prstGeom prst="rect">
                    <a:avLst/>
                  </a:prstGeom>
                  <a:noFill/>
                  <a:ln>
                    <a:noFill/>
                  </a:ln>
                </pic:spPr>
              </pic:pic>
            </a:graphicData>
          </a:graphic>
        </wp:inline>
      </w:drawing>
    </w:r>
  </w:p>
  <w:p w14:paraId="2FD65434" w14:textId="77777777" w:rsidR="007C424A" w:rsidRDefault="007C424A" w:rsidP="004E7D4D">
    <w:pPr>
      <w:pStyle w:val="lfej"/>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lowerRoman"/>
      <w:pStyle w:val="Cmsor3"/>
      <w:suff w:val="nothing"/>
      <w:lvlText w:val="%3."/>
      <w:lvlJc w:val="right"/>
      <w:pPr>
        <w:ind w:left="2160" w:hanging="1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Cmsor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661577"/>
    <w:multiLevelType w:val="hybridMultilevel"/>
    <w:tmpl w:val="659C7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8F5B86"/>
    <w:multiLevelType w:val="hybridMultilevel"/>
    <w:tmpl w:val="2F86AB88"/>
    <w:lvl w:ilvl="0" w:tplc="EEF6F28A">
      <w:numFmt w:val="bullet"/>
      <w:lvlText w:val="-"/>
      <w:lvlJc w:val="left"/>
      <w:pPr>
        <w:ind w:left="1605" w:hanging="360"/>
      </w:pPr>
      <w:rPr>
        <w:rFonts w:ascii="Verdana" w:eastAsia="HG Mincho Light J" w:hAnsi="Verdana" w:cs="Aria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num w:numId="1" w16cid:durableId="71779962">
    <w:abstractNumId w:val="0"/>
  </w:num>
  <w:num w:numId="2" w16cid:durableId="994185003">
    <w:abstractNumId w:val="2"/>
  </w:num>
  <w:num w:numId="3" w16cid:durableId="76508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D"/>
    <w:rsid w:val="00002084"/>
    <w:rsid w:val="00012CF4"/>
    <w:rsid w:val="00016A13"/>
    <w:rsid w:val="00026131"/>
    <w:rsid w:val="00045F56"/>
    <w:rsid w:val="00060B52"/>
    <w:rsid w:val="000616BE"/>
    <w:rsid w:val="00064661"/>
    <w:rsid w:val="00076FCB"/>
    <w:rsid w:val="00091B28"/>
    <w:rsid w:val="00094555"/>
    <w:rsid w:val="00097C08"/>
    <w:rsid w:val="000A6E83"/>
    <w:rsid w:val="000A6FDA"/>
    <w:rsid w:val="000E40E1"/>
    <w:rsid w:val="000F5592"/>
    <w:rsid w:val="00106A10"/>
    <w:rsid w:val="001105F4"/>
    <w:rsid w:val="001142DA"/>
    <w:rsid w:val="0012155B"/>
    <w:rsid w:val="00124B74"/>
    <w:rsid w:val="00133D59"/>
    <w:rsid w:val="00143462"/>
    <w:rsid w:val="001735FD"/>
    <w:rsid w:val="001C69A3"/>
    <w:rsid w:val="001F36C0"/>
    <w:rsid w:val="002004BA"/>
    <w:rsid w:val="00203C0D"/>
    <w:rsid w:val="0022362D"/>
    <w:rsid w:val="0023509C"/>
    <w:rsid w:val="00252CA2"/>
    <w:rsid w:val="0027007C"/>
    <w:rsid w:val="00280068"/>
    <w:rsid w:val="00281FA5"/>
    <w:rsid w:val="002B7ADD"/>
    <w:rsid w:val="002B7F49"/>
    <w:rsid w:val="002C02D1"/>
    <w:rsid w:val="002C08D7"/>
    <w:rsid w:val="002C08F7"/>
    <w:rsid w:val="002C1A0F"/>
    <w:rsid w:val="002D42D9"/>
    <w:rsid w:val="002E3EA2"/>
    <w:rsid w:val="002E4D23"/>
    <w:rsid w:val="002E50FF"/>
    <w:rsid w:val="002E5665"/>
    <w:rsid w:val="00300803"/>
    <w:rsid w:val="0030099C"/>
    <w:rsid w:val="003059D0"/>
    <w:rsid w:val="00306592"/>
    <w:rsid w:val="0031138D"/>
    <w:rsid w:val="00323318"/>
    <w:rsid w:val="0032380C"/>
    <w:rsid w:val="003505AB"/>
    <w:rsid w:val="00363D83"/>
    <w:rsid w:val="003943B8"/>
    <w:rsid w:val="00394A87"/>
    <w:rsid w:val="00394C7A"/>
    <w:rsid w:val="003A2EA2"/>
    <w:rsid w:val="003B6D55"/>
    <w:rsid w:val="003C10DC"/>
    <w:rsid w:val="003D144C"/>
    <w:rsid w:val="003E2766"/>
    <w:rsid w:val="003E4760"/>
    <w:rsid w:val="003F30F9"/>
    <w:rsid w:val="00414D47"/>
    <w:rsid w:val="00420DA9"/>
    <w:rsid w:val="00422F7E"/>
    <w:rsid w:val="00425258"/>
    <w:rsid w:val="00434A38"/>
    <w:rsid w:val="0043770A"/>
    <w:rsid w:val="0045077C"/>
    <w:rsid w:val="0045077D"/>
    <w:rsid w:val="00466B4D"/>
    <w:rsid w:val="004851EB"/>
    <w:rsid w:val="004C4BC9"/>
    <w:rsid w:val="004D005E"/>
    <w:rsid w:val="004D277A"/>
    <w:rsid w:val="004E7D4D"/>
    <w:rsid w:val="004F6695"/>
    <w:rsid w:val="00506F26"/>
    <w:rsid w:val="0052318B"/>
    <w:rsid w:val="00523C9E"/>
    <w:rsid w:val="0053185D"/>
    <w:rsid w:val="0054779A"/>
    <w:rsid w:val="005642BE"/>
    <w:rsid w:val="00564A32"/>
    <w:rsid w:val="00565666"/>
    <w:rsid w:val="00585A0E"/>
    <w:rsid w:val="00595B85"/>
    <w:rsid w:val="005B240A"/>
    <w:rsid w:val="005D4A3F"/>
    <w:rsid w:val="005E0970"/>
    <w:rsid w:val="005F14D2"/>
    <w:rsid w:val="0060064B"/>
    <w:rsid w:val="00605FF7"/>
    <w:rsid w:val="0061332E"/>
    <w:rsid w:val="00625297"/>
    <w:rsid w:val="006312E8"/>
    <w:rsid w:val="00641A1C"/>
    <w:rsid w:val="00674DD7"/>
    <w:rsid w:val="00675A53"/>
    <w:rsid w:val="00681103"/>
    <w:rsid w:val="006B0025"/>
    <w:rsid w:val="006C508B"/>
    <w:rsid w:val="006D7241"/>
    <w:rsid w:val="006F4C11"/>
    <w:rsid w:val="007061E0"/>
    <w:rsid w:val="007104A2"/>
    <w:rsid w:val="00736380"/>
    <w:rsid w:val="00745D6F"/>
    <w:rsid w:val="0077255B"/>
    <w:rsid w:val="00774F31"/>
    <w:rsid w:val="007A47AD"/>
    <w:rsid w:val="007C424A"/>
    <w:rsid w:val="007C4EA3"/>
    <w:rsid w:val="007F20CB"/>
    <w:rsid w:val="007F45EF"/>
    <w:rsid w:val="00824AC8"/>
    <w:rsid w:val="00843A80"/>
    <w:rsid w:val="008461FC"/>
    <w:rsid w:val="00854848"/>
    <w:rsid w:val="00867E7C"/>
    <w:rsid w:val="008736BC"/>
    <w:rsid w:val="0088672E"/>
    <w:rsid w:val="00892AF3"/>
    <w:rsid w:val="008951FD"/>
    <w:rsid w:val="00897968"/>
    <w:rsid w:val="008A6FD5"/>
    <w:rsid w:val="008B283A"/>
    <w:rsid w:val="008B5E35"/>
    <w:rsid w:val="008E328F"/>
    <w:rsid w:val="008E381D"/>
    <w:rsid w:val="0093513E"/>
    <w:rsid w:val="00957692"/>
    <w:rsid w:val="00971839"/>
    <w:rsid w:val="00991B0E"/>
    <w:rsid w:val="00992F35"/>
    <w:rsid w:val="009C2B08"/>
    <w:rsid w:val="009D5B32"/>
    <w:rsid w:val="009E0CDC"/>
    <w:rsid w:val="009F6984"/>
    <w:rsid w:val="00A224A5"/>
    <w:rsid w:val="00A27A79"/>
    <w:rsid w:val="00A36E29"/>
    <w:rsid w:val="00A444F7"/>
    <w:rsid w:val="00AF607A"/>
    <w:rsid w:val="00B16162"/>
    <w:rsid w:val="00B22164"/>
    <w:rsid w:val="00B5375C"/>
    <w:rsid w:val="00B6364C"/>
    <w:rsid w:val="00B64E36"/>
    <w:rsid w:val="00BE03B1"/>
    <w:rsid w:val="00BF14B3"/>
    <w:rsid w:val="00C02334"/>
    <w:rsid w:val="00C6282C"/>
    <w:rsid w:val="00C71123"/>
    <w:rsid w:val="00C8358E"/>
    <w:rsid w:val="00C87D0B"/>
    <w:rsid w:val="00C927DD"/>
    <w:rsid w:val="00CA31AB"/>
    <w:rsid w:val="00CA3481"/>
    <w:rsid w:val="00CC5B3D"/>
    <w:rsid w:val="00CC5E04"/>
    <w:rsid w:val="00CF121A"/>
    <w:rsid w:val="00CF2806"/>
    <w:rsid w:val="00D133A2"/>
    <w:rsid w:val="00D37031"/>
    <w:rsid w:val="00D370B0"/>
    <w:rsid w:val="00D72F79"/>
    <w:rsid w:val="00D7476D"/>
    <w:rsid w:val="00D80CC5"/>
    <w:rsid w:val="00DA158E"/>
    <w:rsid w:val="00DA7F43"/>
    <w:rsid w:val="00DF2FEF"/>
    <w:rsid w:val="00E465AE"/>
    <w:rsid w:val="00E46853"/>
    <w:rsid w:val="00E60077"/>
    <w:rsid w:val="00E6602B"/>
    <w:rsid w:val="00EC7D13"/>
    <w:rsid w:val="00ED58AF"/>
    <w:rsid w:val="00ED7BB3"/>
    <w:rsid w:val="00F11559"/>
    <w:rsid w:val="00F1526E"/>
    <w:rsid w:val="00F371CC"/>
    <w:rsid w:val="00F4504D"/>
    <w:rsid w:val="00F5414C"/>
    <w:rsid w:val="00F55558"/>
    <w:rsid w:val="00F91181"/>
    <w:rsid w:val="00F94A1F"/>
    <w:rsid w:val="00FE40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5C87"/>
  <w15:chartTrackingRefBased/>
  <w15:docId w15:val="{F0FB3399-5B23-431B-8205-F437FEC2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pPr>
    <w:rPr>
      <w:rFonts w:ascii="Thorndale" w:eastAsia="HG Mincho Light J" w:hAnsi="Thorndale"/>
      <w:color w:val="000000"/>
      <w:sz w:val="24"/>
    </w:rPr>
  </w:style>
  <w:style w:type="paragraph" w:styleId="Cmsor1">
    <w:name w:val="heading 1"/>
    <w:basedOn w:val="Norml"/>
    <w:next w:val="Norml"/>
    <w:qFormat/>
    <w:pPr>
      <w:keepNext/>
      <w:numPr>
        <w:numId w:val="1"/>
      </w:numPr>
      <w:outlineLvl w:val="0"/>
    </w:pPr>
    <w:rPr>
      <w:rFonts w:ascii="Tahoma" w:hAnsi="Tahoma"/>
      <w:b/>
      <w:sz w:val="84"/>
    </w:rPr>
  </w:style>
  <w:style w:type="paragraph" w:styleId="Cmsor2">
    <w:name w:val="heading 2"/>
    <w:basedOn w:val="Norml"/>
    <w:next w:val="Norml"/>
    <w:qFormat/>
    <w:pPr>
      <w:keepNext/>
      <w:numPr>
        <w:ilvl w:val="1"/>
        <w:numId w:val="1"/>
      </w:numPr>
      <w:outlineLvl w:val="1"/>
    </w:pPr>
    <w:rPr>
      <w:rFonts w:ascii="Tahoma" w:hAnsi="Tahoma"/>
      <w:i/>
      <w:sz w:val="14"/>
    </w:rPr>
  </w:style>
  <w:style w:type="paragraph" w:styleId="Cmsor3">
    <w:name w:val="heading 3"/>
    <w:basedOn w:val="Norml"/>
    <w:next w:val="Norml"/>
    <w:qFormat/>
    <w:pPr>
      <w:keepNext/>
      <w:numPr>
        <w:ilvl w:val="2"/>
        <w:numId w:val="1"/>
      </w:numPr>
      <w:tabs>
        <w:tab w:val="right" w:pos="5607"/>
      </w:tabs>
      <w:spacing w:line="360" w:lineRule="auto"/>
      <w:ind w:left="2727"/>
      <w:jc w:val="both"/>
      <w:outlineLvl w:val="2"/>
    </w:pPr>
    <w:rPr>
      <w:rFonts w:ascii="Times New Roman" w:hAnsi="Times New Roman"/>
      <w:b/>
    </w:rPr>
  </w:style>
  <w:style w:type="paragraph" w:styleId="Cmsor7">
    <w:name w:val="heading 7"/>
    <w:basedOn w:val="Norml"/>
    <w:next w:val="Norml"/>
    <w:qFormat/>
    <w:pPr>
      <w:keepNext/>
      <w:widowControl/>
      <w:numPr>
        <w:ilvl w:val="6"/>
        <w:numId w:val="1"/>
      </w:numPr>
      <w:suppressAutoHyphens w:val="0"/>
      <w:outlineLvl w:val="6"/>
    </w:pPr>
    <w:rPr>
      <w:rFonts w:ascii="Tahoma" w:hAnsi="Tahoma"/>
      <w:i/>
      <w:color w:val="C0C0C0"/>
      <w:kern w:val="20481"/>
      <w:sz w:val="1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style>
  <w:style w:type="paragraph" w:customStyle="1" w:styleId="Cmsor">
    <w:name w:val="Címsor"/>
    <w:basedOn w:val="Norml"/>
    <w:next w:val="Szvegtrzs"/>
    <w:pPr>
      <w:keepNext/>
      <w:spacing w:before="240" w:after="120"/>
    </w:pPr>
    <w:rPr>
      <w:rFonts w:ascii="Albany" w:hAnsi="Albany"/>
      <w:sz w:val="28"/>
    </w:rPr>
  </w:style>
  <w:style w:type="paragraph" w:styleId="Szvegtrzs">
    <w:name w:val="Body Text"/>
    <w:basedOn w:val="Norml"/>
    <w:pPr>
      <w:spacing w:after="220" w:line="180" w:lineRule="atLeast"/>
      <w:jc w:val="both"/>
    </w:pPr>
    <w:rPr>
      <w:rFonts w:ascii="Arial" w:hAnsi="Arial"/>
      <w:spacing w:val="-5"/>
    </w:rPr>
  </w:style>
  <w:style w:type="paragraph" w:customStyle="1" w:styleId="Tblzattartalom">
    <w:name w:val="Táblázattartalom"/>
    <w:basedOn w:val="Szvegtrzs"/>
    <w:pPr>
      <w:suppressLineNumbers/>
    </w:pPr>
  </w:style>
  <w:style w:type="paragraph" w:customStyle="1" w:styleId="Kerettartalom">
    <w:name w:val="Kerettartalom"/>
    <w:basedOn w:val="Szvegtrzs"/>
  </w:style>
  <w:style w:type="paragraph" w:customStyle="1" w:styleId="Vzszintesvonal">
    <w:name w:val="Vízszintes vonal"/>
    <w:basedOn w:val="Norml"/>
    <w:next w:val="Szvegtrzs"/>
    <w:pPr>
      <w:suppressLineNumbers/>
      <w:pBdr>
        <w:bottom w:val="double" w:sz="1" w:space="0" w:color="808080"/>
      </w:pBdr>
      <w:spacing w:after="283"/>
    </w:pPr>
    <w:rPr>
      <w:sz w:val="12"/>
    </w:rPr>
  </w:style>
  <w:style w:type="paragraph" w:customStyle="1" w:styleId="Cmsoralap">
    <w:name w:val="Címsor alap"/>
    <w:basedOn w:val="Szvegtrzs"/>
    <w:next w:val="Szvegtrzs"/>
    <w:pPr>
      <w:keepNext/>
      <w:keepLines/>
      <w:spacing w:after="0"/>
      <w:jc w:val="left"/>
    </w:pPr>
    <w:rPr>
      <w:rFonts w:ascii="Arial Black" w:hAnsi="Arial Black"/>
      <w:spacing w:val="-10"/>
    </w:rPr>
  </w:style>
  <w:style w:type="paragraph" w:customStyle="1" w:styleId="Tblzatfejlc">
    <w:name w:val="Táblázatfejléc"/>
    <w:basedOn w:val="Tblzattartalom"/>
    <w:pPr>
      <w:jc w:val="center"/>
    </w:pPr>
    <w:rPr>
      <w:b/>
      <w:i/>
    </w:rPr>
  </w:style>
  <w:style w:type="character" w:styleId="Hiperhivatkozs">
    <w:name w:val="Hyperlink"/>
    <w:rPr>
      <w:color w:val="0000FF"/>
      <w:u w:val="single"/>
    </w:rPr>
  </w:style>
  <w:style w:type="paragraph" w:styleId="Szvegtrzs2">
    <w:name w:val="Body Text 2"/>
    <w:basedOn w:val="Norml"/>
    <w:rPr>
      <w:rFonts w:ascii="Times New Roman" w:hAnsi="Times New Roman"/>
      <w:sz w:val="22"/>
    </w:rPr>
  </w:style>
  <w:style w:type="paragraph" w:styleId="llb">
    <w:name w:val="footer"/>
    <w:basedOn w:val="Norml"/>
    <w:link w:val="llbChar"/>
    <w:uiPriority w:val="99"/>
    <w:rsid w:val="00016A13"/>
    <w:pPr>
      <w:tabs>
        <w:tab w:val="center" w:pos="4536"/>
        <w:tab w:val="right" w:pos="9072"/>
      </w:tabs>
    </w:pPr>
  </w:style>
  <w:style w:type="character" w:styleId="Oldalszm">
    <w:name w:val="page number"/>
    <w:basedOn w:val="Bekezdsalapbettpusa"/>
    <w:rsid w:val="00016A13"/>
  </w:style>
  <w:style w:type="paragraph" w:styleId="lfej">
    <w:name w:val="header"/>
    <w:basedOn w:val="Norml"/>
    <w:link w:val="lfejChar"/>
    <w:uiPriority w:val="99"/>
    <w:rsid w:val="00016A13"/>
    <w:pPr>
      <w:tabs>
        <w:tab w:val="center" w:pos="4536"/>
        <w:tab w:val="right" w:pos="9072"/>
      </w:tabs>
    </w:pPr>
  </w:style>
  <w:style w:type="paragraph" w:styleId="NormlWeb">
    <w:name w:val="Normal (Web)"/>
    <w:basedOn w:val="Norml"/>
    <w:uiPriority w:val="99"/>
    <w:semiHidden/>
    <w:unhideWhenUsed/>
    <w:rsid w:val="007A47AD"/>
    <w:pPr>
      <w:widowControl/>
      <w:suppressAutoHyphens w:val="0"/>
      <w:spacing w:before="100" w:beforeAutospacing="1" w:after="100" w:afterAutospacing="1"/>
    </w:pPr>
    <w:rPr>
      <w:rFonts w:ascii="Times New Roman" w:eastAsia="Times New Roman" w:hAnsi="Times New Roman"/>
      <w:color w:val="auto"/>
      <w:szCs w:val="24"/>
    </w:rPr>
  </w:style>
  <w:style w:type="character" w:customStyle="1" w:styleId="lfejChar">
    <w:name w:val="Élőfej Char"/>
    <w:link w:val="lfej"/>
    <w:uiPriority w:val="99"/>
    <w:rsid w:val="007F20CB"/>
    <w:rPr>
      <w:rFonts w:ascii="Thorndale" w:eastAsia="HG Mincho Light J" w:hAnsi="Thorndale"/>
      <w:color w:val="000000"/>
      <w:sz w:val="24"/>
    </w:rPr>
  </w:style>
  <w:style w:type="paragraph" w:styleId="Buborkszveg">
    <w:name w:val="Balloon Text"/>
    <w:basedOn w:val="Norml"/>
    <w:link w:val="BuborkszvegChar"/>
    <w:uiPriority w:val="99"/>
    <w:semiHidden/>
    <w:unhideWhenUsed/>
    <w:rsid w:val="007F20CB"/>
    <w:rPr>
      <w:rFonts w:ascii="Tahoma" w:hAnsi="Tahoma" w:cs="Tahoma"/>
      <w:sz w:val="16"/>
      <w:szCs w:val="16"/>
    </w:rPr>
  </w:style>
  <w:style w:type="character" w:customStyle="1" w:styleId="BuborkszvegChar">
    <w:name w:val="Buborékszöveg Char"/>
    <w:link w:val="Buborkszveg"/>
    <w:uiPriority w:val="99"/>
    <w:semiHidden/>
    <w:rsid w:val="007F20CB"/>
    <w:rPr>
      <w:rFonts w:ascii="Tahoma" w:eastAsia="HG Mincho Light J" w:hAnsi="Tahoma" w:cs="Tahoma"/>
      <w:color w:val="000000"/>
      <w:sz w:val="16"/>
      <w:szCs w:val="16"/>
    </w:rPr>
  </w:style>
  <w:style w:type="character" w:customStyle="1" w:styleId="llbChar">
    <w:name w:val="Élőláb Char"/>
    <w:link w:val="llb"/>
    <w:uiPriority w:val="99"/>
    <w:rsid w:val="00414D47"/>
    <w:rPr>
      <w:rFonts w:ascii="Thorndale" w:eastAsia="HG Mincho Light J" w:hAnsi="Thornda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4640">
      <w:bodyDiv w:val="1"/>
      <w:marLeft w:val="0"/>
      <w:marRight w:val="0"/>
      <w:marTop w:val="0"/>
      <w:marBottom w:val="0"/>
      <w:divBdr>
        <w:top w:val="none" w:sz="0" w:space="0" w:color="auto"/>
        <w:left w:val="none" w:sz="0" w:space="0" w:color="auto"/>
        <w:bottom w:val="none" w:sz="0" w:space="0" w:color="auto"/>
        <w:right w:val="none" w:sz="0" w:space="0" w:color="auto"/>
      </w:divBdr>
    </w:div>
    <w:div w:id="343217063">
      <w:bodyDiv w:val="1"/>
      <w:marLeft w:val="0"/>
      <w:marRight w:val="0"/>
      <w:marTop w:val="0"/>
      <w:marBottom w:val="0"/>
      <w:divBdr>
        <w:top w:val="none" w:sz="0" w:space="0" w:color="auto"/>
        <w:left w:val="none" w:sz="0" w:space="0" w:color="auto"/>
        <w:bottom w:val="none" w:sz="0" w:space="0" w:color="auto"/>
        <w:right w:val="none" w:sz="0" w:space="0" w:color="auto"/>
      </w:divBdr>
      <w:divsChild>
        <w:div w:id="144930829">
          <w:marLeft w:val="0"/>
          <w:marRight w:val="0"/>
          <w:marTop w:val="0"/>
          <w:marBottom w:val="0"/>
          <w:divBdr>
            <w:top w:val="none" w:sz="0" w:space="0" w:color="auto"/>
            <w:left w:val="none" w:sz="0" w:space="0" w:color="auto"/>
            <w:bottom w:val="none" w:sz="0" w:space="0" w:color="auto"/>
            <w:right w:val="none" w:sz="0" w:space="0" w:color="auto"/>
          </w:divBdr>
        </w:div>
        <w:div w:id="150753556">
          <w:marLeft w:val="0"/>
          <w:marRight w:val="0"/>
          <w:marTop w:val="0"/>
          <w:marBottom w:val="0"/>
          <w:divBdr>
            <w:top w:val="none" w:sz="0" w:space="0" w:color="auto"/>
            <w:left w:val="none" w:sz="0" w:space="0" w:color="auto"/>
            <w:bottom w:val="none" w:sz="0" w:space="0" w:color="auto"/>
            <w:right w:val="none" w:sz="0" w:space="0" w:color="auto"/>
          </w:divBdr>
        </w:div>
        <w:div w:id="395511647">
          <w:marLeft w:val="0"/>
          <w:marRight w:val="0"/>
          <w:marTop w:val="0"/>
          <w:marBottom w:val="0"/>
          <w:divBdr>
            <w:top w:val="none" w:sz="0" w:space="0" w:color="auto"/>
            <w:left w:val="none" w:sz="0" w:space="0" w:color="auto"/>
            <w:bottom w:val="none" w:sz="0" w:space="0" w:color="auto"/>
            <w:right w:val="none" w:sz="0" w:space="0" w:color="auto"/>
          </w:divBdr>
        </w:div>
        <w:div w:id="587810268">
          <w:marLeft w:val="0"/>
          <w:marRight w:val="0"/>
          <w:marTop w:val="0"/>
          <w:marBottom w:val="0"/>
          <w:divBdr>
            <w:top w:val="none" w:sz="0" w:space="0" w:color="auto"/>
            <w:left w:val="none" w:sz="0" w:space="0" w:color="auto"/>
            <w:bottom w:val="none" w:sz="0" w:space="0" w:color="auto"/>
            <w:right w:val="none" w:sz="0" w:space="0" w:color="auto"/>
          </w:divBdr>
        </w:div>
        <w:div w:id="1112749789">
          <w:marLeft w:val="0"/>
          <w:marRight w:val="0"/>
          <w:marTop w:val="0"/>
          <w:marBottom w:val="0"/>
          <w:divBdr>
            <w:top w:val="none" w:sz="0" w:space="0" w:color="auto"/>
            <w:left w:val="none" w:sz="0" w:space="0" w:color="auto"/>
            <w:bottom w:val="none" w:sz="0" w:space="0" w:color="auto"/>
            <w:right w:val="none" w:sz="0" w:space="0" w:color="auto"/>
          </w:divBdr>
        </w:div>
        <w:div w:id="1302036365">
          <w:marLeft w:val="0"/>
          <w:marRight w:val="0"/>
          <w:marTop w:val="0"/>
          <w:marBottom w:val="0"/>
          <w:divBdr>
            <w:top w:val="none" w:sz="0" w:space="0" w:color="auto"/>
            <w:left w:val="none" w:sz="0" w:space="0" w:color="auto"/>
            <w:bottom w:val="none" w:sz="0" w:space="0" w:color="auto"/>
            <w:right w:val="none" w:sz="0" w:space="0" w:color="auto"/>
          </w:divBdr>
        </w:div>
        <w:div w:id="1396663009">
          <w:marLeft w:val="0"/>
          <w:marRight w:val="0"/>
          <w:marTop w:val="0"/>
          <w:marBottom w:val="0"/>
          <w:divBdr>
            <w:top w:val="none" w:sz="0" w:space="0" w:color="auto"/>
            <w:left w:val="none" w:sz="0" w:space="0" w:color="auto"/>
            <w:bottom w:val="none" w:sz="0" w:space="0" w:color="auto"/>
            <w:right w:val="none" w:sz="0" w:space="0" w:color="auto"/>
          </w:divBdr>
        </w:div>
        <w:div w:id="1516116179">
          <w:marLeft w:val="0"/>
          <w:marRight w:val="0"/>
          <w:marTop w:val="0"/>
          <w:marBottom w:val="0"/>
          <w:divBdr>
            <w:top w:val="none" w:sz="0" w:space="0" w:color="auto"/>
            <w:left w:val="none" w:sz="0" w:space="0" w:color="auto"/>
            <w:bottom w:val="none" w:sz="0" w:space="0" w:color="auto"/>
            <w:right w:val="none" w:sz="0" w:space="0" w:color="auto"/>
          </w:divBdr>
        </w:div>
        <w:div w:id="1615939102">
          <w:marLeft w:val="0"/>
          <w:marRight w:val="0"/>
          <w:marTop w:val="0"/>
          <w:marBottom w:val="0"/>
          <w:divBdr>
            <w:top w:val="none" w:sz="0" w:space="0" w:color="auto"/>
            <w:left w:val="none" w:sz="0" w:space="0" w:color="auto"/>
            <w:bottom w:val="none" w:sz="0" w:space="0" w:color="auto"/>
            <w:right w:val="none" w:sz="0" w:space="0" w:color="auto"/>
          </w:divBdr>
        </w:div>
        <w:div w:id="1762942835">
          <w:marLeft w:val="0"/>
          <w:marRight w:val="0"/>
          <w:marTop w:val="0"/>
          <w:marBottom w:val="0"/>
          <w:divBdr>
            <w:top w:val="none" w:sz="0" w:space="0" w:color="auto"/>
            <w:left w:val="none" w:sz="0" w:space="0" w:color="auto"/>
            <w:bottom w:val="none" w:sz="0" w:space="0" w:color="auto"/>
            <w:right w:val="none" w:sz="0" w:space="0" w:color="auto"/>
          </w:divBdr>
        </w:div>
        <w:div w:id="1798452081">
          <w:marLeft w:val="0"/>
          <w:marRight w:val="0"/>
          <w:marTop w:val="0"/>
          <w:marBottom w:val="0"/>
          <w:divBdr>
            <w:top w:val="none" w:sz="0" w:space="0" w:color="auto"/>
            <w:left w:val="none" w:sz="0" w:space="0" w:color="auto"/>
            <w:bottom w:val="none" w:sz="0" w:space="0" w:color="auto"/>
            <w:right w:val="none" w:sz="0" w:space="0" w:color="auto"/>
          </w:divBdr>
        </w:div>
        <w:div w:id="1828857598">
          <w:marLeft w:val="0"/>
          <w:marRight w:val="0"/>
          <w:marTop w:val="0"/>
          <w:marBottom w:val="0"/>
          <w:divBdr>
            <w:top w:val="none" w:sz="0" w:space="0" w:color="auto"/>
            <w:left w:val="none" w:sz="0" w:space="0" w:color="auto"/>
            <w:bottom w:val="none" w:sz="0" w:space="0" w:color="auto"/>
            <w:right w:val="none" w:sz="0" w:space="0" w:color="auto"/>
          </w:divBdr>
        </w:div>
        <w:div w:id="1877234093">
          <w:marLeft w:val="0"/>
          <w:marRight w:val="0"/>
          <w:marTop w:val="0"/>
          <w:marBottom w:val="0"/>
          <w:divBdr>
            <w:top w:val="none" w:sz="0" w:space="0" w:color="auto"/>
            <w:left w:val="none" w:sz="0" w:space="0" w:color="auto"/>
            <w:bottom w:val="none" w:sz="0" w:space="0" w:color="auto"/>
            <w:right w:val="none" w:sz="0" w:space="0" w:color="auto"/>
          </w:divBdr>
        </w:div>
        <w:div w:id="1973709019">
          <w:marLeft w:val="0"/>
          <w:marRight w:val="0"/>
          <w:marTop w:val="0"/>
          <w:marBottom w:val="0"/>
          <w:divBdr>
            <w:top w:val="none" w:sz="0" w:space="0" w:color="auto"/>
            <w:left w:val="none" w:sz="0" w:space="0" w:color="auto"/>
            <w:bottom w:val="none" w:sz="0" w:space="0" w:color="auto"/>
            <w:right w:val="none" w:sz="0" w:space="0" w:color="auto"/>
          </w:divBdr>
        </w:div>
        <w:div w:id="2064088998">
          <w:marLeft w:val="0"/>
          <w:marRight w:val="0"/>
          <w:marTop w:val="0"/>
          <w:marBottom w:val="0"/>
          <w:divBdr>
            <w:top w:val="none" w:sz="0" w:space="0" w:color="auto"/>
            <w:left w:val="none" w:sz="0" w:space="0" w:color="auto"/>
            <w:bottom w:val="none" w:sz="0" w:space="0" w:color="auto"/>
            <w:right w:val="none" w:sz="0" w:space="0" w:color="auto"/>
          </w:divBdr>
        </w:div>
      </w:divsChild>
    </w:div>
    <w:div w:id="730811744">
      <w:bodyDiv w:val="1"/>
      <w:marLeft w:val="0"/>
      <w:marRight w:val="0"/>
      <w:marTop w:val="0"/>
      <w:marBottom w:val="0"/>
      <w:divBdr>
        <w:top w:val="none" w:sz="0" w:space="0" w:color="auto"/>
        <w:left w:val="none" w:sz="0" w:space="0" w:color="auto"/>
        <w:bottom w:val="none" w:sz="0" w:space="0" w:color="auto"/>
        <w:right w:val="none" w:sz="0" w:space="0" w:color="auto"/>
      </w:divBdr>
      <w:divsChild>
        <w:div w:id="136578583">
          <w:marLeft w:val="0"/>
          <w:marRight w:val="0"/>
          <w:marTop w:val="0"/>
          <w:marBottom w:val="0"/>
          <w:divBdr>
            <w:top w:val="none" w:sz="0" w:space="0" w:color="auto"/>
            <w:left w:val="none" w:sz="0" w:space="0" w:color="auto"/>
            <w:bottom w:val="none" w:sz="0" w:space="0" w:color="auto"/>
            <w:right w:val="none" w:sz="0" w:space="0" w:color="auto"/>
          </w:divBdr>
        </w:div>
        <w:div w:id="165943184">
          <w:marLeft w:val="0"/>
          <w:marRight w:val="0"/>
          <w:marTop w:val="0"/>
          <w:marBottom w:val="0"/>
          <w:divBdr>
            <w:top w:val="none" w:sz="0" w:space="0" w:color="auto"/>
            <w:left w:val="none" w:sz="0" w:space="0" w:color="auto"/>
            <w:bottom w:val="none" w:sz="0" w:space="0" w:color="auto"/>
            <w:right w:val="none" w:sz="0" w:space="0" w:color="auto"/>
          </w:divBdr>
        </w:div>
        <w:div w:id="211163544">
          <w:marLeft w:val="0"/>
          <w:marRight w:val="0"/>
          <w:marTop w:val="0"/>
          <w:marBottom w:val="0"/>
          <w:divBdr>
            <w:top w:val="none" w:sz="0" w:space="0" w:color="auto"/>
            <w:left w:val="none" w:sz="0" w:space="0" w:color="auto"/>
            <w:bottom w:val="none" w:sz="0" w:space="0" w:color="auto"/>
            <w:right w:val="none" w:sz="0" w:space="0" w:color="auto"/>
          </w:divBdr>
        </w:div>
        <w:div w:id="904142328">
          <w:marLeft w:val="0"/>
          <w:marRight w:val="0"/>
          <w:marTop w:val="0"/>
          <w:marBottom w:val="0"/>
          <w:divBdr>
            <w:top w:val="none" w:sz="0" w:space="0" w:color="auto"/>
            <w:left w:val="none" w:sz="0" w:space="0" w:color="auto"/>
            <w:bottom w:val="none" w:sz="0" w:space="0" w:color="auto"/>
            <w:right w:val="none" w:sz="0" w:space="0" w:color="auto"/>
          </w:divBdr>
        </w:div>
        <w:div w:id="1216116534">
          <w:marLeft w:val="0"/>
          <w:marRight w:val="0"/>
          <w:marTop w:val="0"/>
          <w:marBottom w:val="0"/>
          <w:divBdr>
            <w:top w:val="none" w:sz="0" w:space="0" w:color="auto"/>
            <w:left w:val="none" w:sz="0" w:space="0" w:color="auto"/>
            <w:bottom w:val="none" w:sz="0" w:space="0" w:color="auto"/>
            <w:right w:val="none" w:sz="0" w:space="0" w:color="auto"/>
          </w:divBdr>
        </w:div>
        <w:div w:id="1218514375">
          <w:marLeft w:val="0"/>
          <w:marRight w:val="0"/>
          <w:marTop w:val="0"/>
          <w:marBottom w:val="0"/>
          <w:divBdr>
            <w:top w:val="none" w:sz="0" w:space="0" w:color="auto"/>
            <w:left w:val="none" w:sz="0" w:space="0" w:color="auto"/>
            <w:bottom w:val="none" w:sz="0" w:space="0" w:color="auto"/>
            <w:right w:val="none" w:sz="0" w:space="0" w:color="auto"/>
          </w:divBdr>
        </w:div>
        <w:div w:id="1265577057">
          <w:marLeft w:val="0"/>
          <w:marRight w:val="0"/>
          <w:marTop w:val="0"/>
          <w:marBottom w:val="0"/>
          <w:divBdr>
            <w:top w:val="none" w:sz="0" w:space="0" w:color="auto"/>
            <w:left w:val="none" w:sz="0" w:space="0" w:color="auto"/>
            <w:bottom w:val="none" w:sz="0" w:space="0" w:color="auto"/>
            <w:right w:val="none" w:sz="0" w:space="0" w:color="auto"/>
          </w:divBdr>
        </w:div>
        <w:div w:id="1268469342">
          <w:marLeft w:val="0"/>
          <w:marRight w:val="0"/>
          <w:marTop w:val="0"/>
          <w:marBottom w:val="0"/>
          <w:divBdr>
            <w:top w:val="none" w:sz="0" w:space="0" w:color="auto"/>
            <w:left w:val="none" w:sz="0" w:space="0" w:color="auto"/>
            <w:bottom w:val="none" w:sz="0" w:space="0" w:color="auto"/>
            <w:right w:val="none" w:sz="0" w:space="0" w:color="auto"/>
          </w:divBdr>
        </w:div>
        <w:div w:id="1822428523">
          <w:marLeft w:val="0"/>
          <w:marRight w:val="0"/>
          <w:marTop w:val="0"/>
          <w:marBottom w:val="0"/>
          <w:divBdr>
            <w:top w:val="none" w:sz="0" w:space="0" w:color="auto"/>
            <w:left w:val="none" w:sz="0" w:space="0" w:color="auto"/>
            <w:bottom w:val="none" w:sz="0" w:space="0" w:color="auto"/>
            <w:right w:val="none" w:sz="0" w:space="0" w:color="auto"/>
          </w:divBdr>
        </w:div>
        <w:div w:id="2038433475">
          <w:marLeft w:val="0"/>
          <w:marRight w:val="0"/>
          <w:marTop w:val="0"/>
          <w:marBottom w:val="0"/>
          <w:divBdr>
            <w:top w:val="none" w:sz="0" w:space="0" w:color="auto"/>
            <w:left w:val="none" w:sz="0" w:space="0" w:color="auto"/>
            <w:bottom w:val="none" w:sz="0" w:space="0" w:color="auto"/>
            <w:right w:val="none" w:sz="0" w:space="0" w:color="auto"/>
          </w:divBdr>
        </w:div>
        <w:div w:id="2054770639">
          <w:marLeft w:val="0"/>
          <w:marRight w:val="0"/>
          <w:marTop w:val="0"/>
          <w:marBottom w:val="0"/>
          <w:divBdr>
            <w:top w:val="none" w:sz="0" w:space="0" w:color="auto"/>
            <w:left w:val="none" w:sz="0" w:space="0" w:color="auto"/>
            <w:bottom w:val="none" w:sz="0" w:space="0" w:color="auto"/>
            <w:right w:val="none" w:sz="0" w:space="0" w:color="auto"/>
          </w:divBdr>
          <w:divsChild>
            <w:div w:id="79252254">
              <w:marLeft w:val="0"/>
              <w:marRight w:val="0"/>
              <w:marTop w:val="0"/>
              <w:marBottom w:val="0"/>
              <w:divBdr>
                <w:top w:val="none" w:sz="0" w:space="0" w:color="auto"/>
                <w:left w:val="none" w:sz="0" w:space="0" w:color="auto"/>
                <w:bottom w:val="none" w:sz="0" w:space="0" w:color="auto"/>
                <w:right w:val="none" w:sz="0" w:space="0" w:color="auto"/>
              </w:divBdr>
            </w:div>
            <w:div w:id="113331769">
              <w:marLeft w:val="0"/>
              <w:marRight w:val="0"/>
              <w:marTop w:val="0"/>
              <w:marBottom w:val="0"/>
              <w:divBdr>
                <w:top w:val="none" w:sz="0" w:space="0" w:color="auto"/>
                <w:left w:val="none" w:sz="0" w:space="0" w:color="auto"/>
                <w:bottom w:val="none" w:sz="0" w:space="0" w:color="auto"/>
                <w:right w:val="none" w:sz="0" w:space="0" w:color="auto"/>
              </w:divBdr>
            </w:div>
            <w:div w:id="314144943">
              <w:marLeft w:val="0"/>
              <w:marRight w:val="0"/>
              <w:marTop w:val="0"/>
              <w:marBottom w:val="0"/>
              <w:divBdr>
                <w:top w:val="none" w:sz="0" w:space="0" w:color="auto"/>
                <w:left w:val="none" w:sz="0" w:space="0" w:color="auto"/>
                <w:bottom w:val="none" w:sz="0" w:space="0" w:color="auto"/>
                <w:right w:val="none" w:sz="0" w:space="0" w:color="auto"/>
              </w:divBdr>
            </w:div>
            <w:div w:id="942106060">
              <w:marLeft w:val="0"/>
              <w:marRight w:val="0"/>
              <w:marTop w:val="0"/>
              <w:marBottom w:val="0"/>
              <w:divBdr>
                <w:top w:val="none" w:sz="0" w:space="0" w:color="auto"/>
                <w:left w:val="none" w:sz="0" w:space="0" w:color="auto"/>
                <w:bottom w:val="none" w:sz="0" w:space="0" w:color="auto"/>
                <w:right w:val="none" w:sz="0" w:space="0" w:color="auto"/>
              </w:divBdr>
            </w:div>
            <w:div w:id="1862276861">
              <w:marLeft w:val="0"/>
              <w:marRight w:val="0"/>
              <w:marTop w:val="0"/>
              <w:marBottom w:val="0"/>
              <w:divBdr>
                <w:top w:val="none" w:sz="0" w:space="0" w:color="auto"/>
                <w:left w:val="none" w:sz="0" w:space="0" w:color="auto"/>
                <w:bottom w:val="none" w:sz="0" w:space="0" w:color="auto"/>
                <w:right w:val="none" w:sz="0" w:space="0" w:color="auto"/>
              </w:divBdr>
            </w:div>
            <w:div w:id="1893037232">
              <w:marLeft w:val="0"/>
              <w:marRight w:val="0"/>
              <w:marTop w:val="0"/>
              <w:marBottom w:val="0"/>
              <w:divBdr>
                <w:top w:val="none" w:sz="0" w:space="0" w:color="auto"/>
                <w:left w:val="none" w:sz="0" w:space="0" w:color="auto"/>
                <w:bottom w:val="none" w:sz="0" w:space="0" w:color="auto"/>
                <w:right w:val="none" w:sz="0" w:space="0" w:color="auto"/>
              </w:divBdr>
            </w:div>
            <w:div w:id="1937207330">
              <w:marLeft w:val="0"/>
              <w:marRight w:val="0"/>
              <w:marTop w:val="0"/>
              <w:marBottom w:val="0"/>
              <w:divBdr>
                <w:top w:val="none" w:sz="0" w:space="0" w:color="auto"/>
                <w:left w:val="none" w:sz="0" w:space="0" w:color="auto"/>
                <w:bottom w:val="none" w:sz="0" w:space="0" w:color="auto"/>
                <w:right w:val="none" w:sz="0" w:space="0" w:color="auto"/>
              </w:divBdr>
            </w:div>
            <w:div w:id="21362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708</Words>
  <Characters>4864</Characters>
  <Application>Microsoft Office Word</Application>
  <DocSecurity>0</DocSecurity>
  <Lines>58</Lines>
  <Paragraphs>7</Paragraphs>
  <ScaleCrop>false</ScaleCrop>
  <HeadingPairs>
    <vt:vector size="2" baseType="variant">
      <vt:variant>
        <vt:lpstr>Cím</vt:lpstr>
      </vt:variant>
      <vt:variant>
        <vt:i4>1</vt:i4>
      </vt:variant>
    </vt:vector>
  </HeadingPairs>
  <TitlesOfParts>
    <vt:vector size="1" baseType="lpstr">
      <vt:lpstr>FAX</vt:lpstr>
    </vt:vector>
  </TitlesOfParts>
  <Company>Ferling PR</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ferling</dc:creator>
  <cp:keywords/>
  <cp:lastModifiedBy>Kis Tünde</cp:lastModifiedBy>
  <cp:revision>2</cp:revision>
  <cp:lastPrinted>2003-07-24T12:44:00Z</cp:lastPrinted>
  <dcterms:created xsi:type="dcterms:W3CDTF">2026-02-09T15:21:00Z</dcterms:created>
  <dcterms:modified xsi:type="dcterms:W3CDTF">2026-02-09T15:21:00Z</dcterms:modified>
</cp:coreProperties>
</file>