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5B986428" w14:textId="77777777" w:rsidR="008D5BD1" w:rsidRPr="008D5BD1" w:rsidRDefault="008D5BD1" w:rsidP="008D5BD1">
      <w:pPr>
        <w:widowControl/>
        <w:suppressAutoHyphens w:val="0"/>
        <w:spacing w:line="259" w:lineRule="auto"/>
        <w:jc w:val="center"/>
        <w:rPr>
          <w:rFonts w:ascii="Calibri" w:eastAsia="Times New Roman" w:hAnsi="Calibri" w:cs="Calibri"/>
          <w:b/>
          <w:bCs/>
          <w:color w:val="auto"/>
          <w:kern w:val="2"/>
          <w:sz w:val="28"/>
          <w:szCs w:val="28"/>
          <w:lang w:eastAsia="en-US"/>
        </w:rPr>
      </w:pPr>
      <w:r w:rsidRPr="008D5BD1">
        <w:rPr>
          <w:rFonts w:ascii="Calibri" w:eastAsia="Times New Roman" w:hAnsi="Calibri" w:cs="Calibri"/>
          <w:b/>
          <w:bCs/>
          <w:color w:val="auto"/>
          <w:kern w:val="2"/>
          <w:sz w:val="28"/>
          <w:szCs w:val="28"/>
          <w:lang w:eastAsia="en-US"/>
        </w:rPr>
        <w:t>Indul az angol nyelvű gépészképzés a PTE MIK-en</w:t>
      </w:r>
    </w:p>
    <w:p w14:paraId="00473418" w14:textId="77777777" w:rsidR="008D5BD1" w:rsidRPr="008D5BD1" w:rsidRDefault="008D5BD1" w:rsidP="008D5BD1">
      <w:pPr>
        <w:widowControl/>
        <w:suppressAutoHyphens w:val="0"/>
        <w:spacing w:line="259" w:lineRule="auto"/>
        <w:jc w:val="center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46A61CDD" w14:textId="77777777" w:rsidR="008D5BD1" w:rsidRPr="008D5BD1" w:rsidRDefault="008D5BD1" w:rsidP="008D5BD1">
      <w:pPr>
        <w:widowControl/>
        <w:suppressAutoHyphens w:val="0"/>
        <w:spacing w:line="259" w:lineRule="auto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6DAE2133" w14:textId="77777777" w:rsidR="008D5BD1" w:rsidRPr="008D5BD1" w:rsidRDefault="008D5BD1" w:rsidP="008D5BD1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</w:pPr>
      <w:r w:rsidRPr="008D5BD1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>2026 szeptemberétől már a gépészmérnöki BSc-képzés is elérhető angol nyelven a Pécsi Tudományegyetem Műszaki és Informatikai Karán (PTE MIK), ahol eddig építészek, építőmérnökök, mérnökinformatikusok, valamint villamosmérnökök szerezhettek végzettséget ezen a nyelven. A képzés akkreditálását az utóbbi években megnőtt nemzetközi igény indokolta. Amellett, hogy ennek az iparágnak is az angol a nemzetközi szakmai nyelve, illetve a pécsi gépészképzés is kiterjedt nemzetközi kapcsolatrendszerrel rendelkezik, az új képzés elindítása lehetőséget teremt az oktatók egy-egy területre való specializálódására, valamint az oktatói kör bővítésére is.</w:t>
      </w:r>
    </w:p>
    <w:p w14:paraId="4C3CA4BA" w14:textId="77777777" w:rsidR="008D5BD1" w:rsidRPr="008D5BD1" w:rsidRDefault="008D5BD1" w:rsidP="008D5BD1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4D884F82" w14:textId="3D082727" w:rsidR="008D5BD1" w:rsidRPr="008D5BD1" w:rsidRDefault="008D5BD1" w:rsidP="008D5BD1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  <w:r w:rsidRPr="008D5BD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Hazánkban másodikként a pécsi Műszaki és Informatikai Kar indított 2013-tól angol nyelven osztatlan építész</w:t>
      </w:r>
      <w:r w:rsidR="0063621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mérnöki </w:t>
      </w:r>
      <w:r w:rsidRPr="008D5BD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képzést.  Az </w:t>
      </w:r>
      <w:r w:rsidR="0063621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é</w:t>
      </w:r>
      <w:r w:rsidRPr="008D5BD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pítész</w:t>
      </w:r>
      <w:r w:rsidR="0063621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mérnöki</w:t>
      </w:r>
      <w:r w:rsidRPr="008D5BD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BSc-, valamint az </w:t>
      </w:r>
      <w:r w:rsidR="0063621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é</w:t>
      </w:r>
      <w:r w:rsidRPr="008D5BD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pítész MSc-képzés mellett a Breuer Marcell Doktori Iskola is fogad nemzetközi hallgatókat. 2015-től a mérnökinformatikus és az építőmérnök</w:t>
      </w:r>
      <w:r w:rsidR="0063621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i</w:t>
      </w:r>
      <w:r w:rsidRPr="008D5BD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, 2017-től pedig a villamosmérnök</w:t>
      </w:r>
      <w:r w:rsidR="0063621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i</w:t>
      </w:r>
      <w:r w:rsidRPr="008D5BD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szak nyílt meg a külföldi jelentkezők előtt. Jelenleg 12 képzés érhető el angol nyelven, melyeken az aktuális hallgatói létszám meghaladja a 640 főt. A 2021-ben indított Egészségügyi mérnök</w:t>
      </w:r>
      <w:r w:rsidR="0063621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i</w:t>
      </w:r>
      <w:r w:rsidRPr="008D5BD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(Biomedical Engineering MSc) mesterszakot a magyar hallgatók is kizárólag csak angol nyelven hallgathatják. A nemzetköziesítés számos új külföldi egyetemi partnerkapcsolatot hozott a karnak, a közös képzések mellett a kutatócsoportok együttműködése alapozza meg a munkájuk sikerét. Az oktatók számos külföldi felsőoktatási intézményben tartottak és tartanak kurzusokat, szakmai előmenetelük szempontjából különösen fontos egymás portfóliójának figyelemmel kísérése, a közös szakmai tudományos megjelenés. Ennek eredménye, hogy a partneregyetemekről többen is a pécsi Breuer Marcell Doktori Iskola angol nyelvű programjába nyertek felvételt tudományos fokozatszerzés céljából. </w:t>
      </w:r>
    </w:p>
    <w:p w14:paraId="015F0333" w14:textId="77777777" w:rsidR="008D5BD1" w:rsidRPr="008D5BD1" w:rsidRDefault="008D5BD1" w:rsidP="008D5BD1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350A6E41" w14:textId="3836DC80" w:rsidR="008D5BD1" w:rsidRPr="008D5BD1" w:rsidRDefault="008D5BD1" w:rsidP="008D5BD1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  <w:r w:rsidRPr="008D5BD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A jövő tanévben induló angol nyelvű gépészképzés alapját az építőmérnök</w:t>
      </w:r>
      <w:r w:rsidR="0063621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i</w:t>
      </w:r>
      <w:r w:rsidRPr="008D5BD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, a mérnökinformatikus- és a villamosmérnök</w:t>
      </w:r>
      <w:r w:rsidR="0063621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i </w:t>
      </w:r>
      <w:r w:rsidRPr="008D5BD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képzéssel közös alapozótárgyak jelentik, de a szakmai tárgyak közül néhányat már korábban is oktattak angol nyelven – mindez szintén az új képzési forma elindítása felé terelte a kart. „Az angol nyelvű képzés akkreditálása egy többéves folyamat eredménye. A kar az elsők között kötelezte el magát a PTE nemzetköziesítési törekvése mellett, így a Gépészmérnöki Tanszéken ennek szellemiségében vettünk fel angolul jól beszélő fiatal kollégákat. Az oktatói munka mellett számos nemzetközi pályázatban vállalunk szerepet, rendszeres résztvevői vagyunk nemzetközi konferenciáknak, így a mindennapjainkban is fontos helyet foglal el az angol mint kommunikációs nyelv. A karunkkal kapcsolatban álló ipari partnerek szívesen fogadják hallgatóinkat szakmai gyakorlatra, a jövőben hozzánk jelentkező külföldi diákokat is bizonyára el tudjuk majd helyezni náluk, olyan nagy mértékű a mérnökhiány, és ma már minden nagyobb vállalatnál elfogadott az angol nyelvű kommunikáció” – mondja Vasvári Gyula, a Gépészmérnöki Tanszék</w:t>
      </w:r>
      <w:r w:rsidRPr="008D5BD1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 xml:space="preserve"> </w:t>
      </w:r>
      <w:r w:rsidRPr="008D5BD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mb. tanszékvezetője. </w:t>
      </w:r>
    </w:p>
    <w:p w14:paraId="6C348C54" w14:textId="77777777" w:rsidR="008D5BD1" w:rsidRPr="008D5BD1" w:rsidRDefault="008D5BD1" w:rsidP="008D5BD1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36F85A41" w14:textId="2BB5FA1C" w:rsidR="008D5BD1" w:rsidRPr="008D5BD1" w:rsidRDefault="008D5BD1" w:rsidP="008D5BD1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  <w:r w:rsidRPr="008D5BD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A PTE MIK-re többségében Ázsiából, Afrikából és a Közel-Keletről érkeznek hallgatók. Azok a jelentkezők, akik nyelvi készsége nem megfelelő, egy év intenzív nyelvtanulás és egy félév előkészítő szakmai alapkurzus elvégzése után kerülhetnek be a kar képzéseire. Sokan csak ekkor döntik el, hogy milyen szakon szeretnének tanulni. Minél több potenciális jelentkezőt tudnak megnyerni a mérnöki előkészítő kurzusok hallgatói közül a kar számára, annál nagyobb az esélye annak, hogy közülük többen is az új gépészmérnök</w:t>
      </w:r>
      <w:r w:rsidR="0063621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i</w:t>
      </w:r>
      <w:r w:rsidRPr="008D5BD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szakra jelentkeznek. 2026 szeptemberében 20–30 elsőéves gépészmérnök-hallgatóval indulhat el az angol nyelvű képzés, amelyre már jelenleg is zajlik a toborzás. Ahogy Vasvári Gyula mondja, a számos előny mellett az is az új képzési forma javára írható, hogy az oktatók az eddiginél jobban tudnak specializálódni egy-egy területre. Emellett várhatóan további kutatókkal és oktatókkal </w:t>
      </w:r>
      <w:r w:rsidRPr="008D5BD1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lastRenderedPageBreak/>
        <w:t>gyarapodik az oktatói gárda, az angol nyelv szélesebb körű alkalmazása pedig újabb távlatokat, kapcsolatokat hozhat a pécsi gépészképzésbe.</w:t>
      </w:r>
    </w:p>
    <w:p w14:paraId="44449BEF" w14:textId="77777777" w:rsidR="007061E0" w:rsidRDefault="007061E0" w:rsidP="008D5BD1">
      <w:pPr>
        <w:jc w:val="both"/>
      </w:pPr>
    </w:p>
    <w:p w14:paraId="777BFB23" w14:textId="0B394C14" w:rsidR="008D5BD1" w:rsidRPr="00084947" w:rsidRDefault="008D5BD1" w:rsidP="008D5BD1">
      <w:pPr>
        <w:widowControl/>
        <w:suppressAutoHyphens w:val="0"/>
        <w:spacing w:line="276" w:lineRule="auto"/>
        <w:jc w:val="both"/>
        <w:rPr>
          <w:rFonts w:asciiTheme="minorHAnsi" w:eastAsiaTheme="minorHAnsi" w:hAnsiTheme="minorHAnsi" w:cstheme="minorBid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pPr>
      <w:r w:rsidRPr="00084947">
        <w:rPr>
          <w:rFonts w:asciiTheme="minorHAnsi" w:eastAsiaTheme="minorHAnsi" w:hAnsiTheme="minorHAnsi" w:cstheme="minorBid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További információ</w:t>
      </w:r>
      <w:r>
        <w:rPr>
          <w:rFonts w:asciiTheme="minorHAnsi" w:eastAsiaTheme="minorHAnsi" w:hAnsiTheme="minorHAnsi" w:cstheme="minorBid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 xml:space="preserve"> a sajtó számára</w:t>
      </w:r>
      <w:r w:rsidRPr="00084947">
        <w:rPr>
          <w:rFonts w:asciiTheme="minorHAnsi" w:eastAsiaTheme="minorHAnsi" w:hAnsiTheme="minorHAnsi" w:cstheme="minorBidi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  <w:t>:</w:t>
      </w:r>
    </w:p>
    <w:p w14:paraId="6A5E770E" w14:textId="699AFD74" w:rsidR="008D5BD1" w:rsidRPr="00084947" w:rsidRDefault="008D5BD1" w:rsidP="008D5BD1">
      <w:pPr>
        <w:widowControl/>
        <w:suppressAutoHyphens w:val="0"/>
        <w:spacing w:line="276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084947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Vasvári Gyula Ferenc mb. tanszékvezető</w:t>
      </w:r>
      <w: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084947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– PTE MIK</w:t>
      </w:r>
      <w: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 Gépészmérnöki Tanszék</w:t>
      </w:r>
    </w:p>
    <w:p w14:paraId="450A5257" w14:textId="77777777" w:rsidR="008D5BD1" w:rsidRPr="00084947" w:rsidRDefault="008D5BD1" w:rsidP="008D5BD1">
      <w:pPr>
        <w:widowControl/>
        <w:suppressAutoHyphens w:val="0"/>
        <w:spacing w:line="276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084947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E-mail: </w:t>
      </w:r>
      <w:hyperlink r:id="rId7" w:history="1">
        <w:r w:rsidRPr="00084947">
          <w:rPr>
            <w:rFonts w:asciiTheme="minorHAnsi" w:eastAsiaTheme="minorHAnsi" w:hAnsiTheme="minorHAnsi" w:cstheme="minorBidi"/>
            <w:color w:val="auto"/>
            <w:kern w:val="2"/>
            <w:sz w:val="22"/>
            <w:szCs w:val="22"/>
            <w:lang w:eastAsia="en-US"/>
            <w14:ligatures w14:val="standardContextual"/>
          </w:rPr>
          <w:t>vasvari.gyula@mik.pte.hu</w:t>
        </w:r>
      </w:hyperlink>
    </w:p>
    <w:p w14:paraId="3805AFEB" w14:textId="77777777" w:rsidR="008D5BD1" w:rsidRPr="00084947" w:rsidRDefault="008D5BD1" w:rsidP="008D5BD1">
      <w:pPr>
        <w:widowControl/>
        <w:suppressAutoHyphens w:val="0"/>
        <w:spacing w:line="276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084947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Telefon: +36 30 8255602</w:t>
      </w:r>
    </w:p>
    <w:p w14:paraId="4D3A9BD1" w14:textId="77777777" w:rsidR="008D5BD1" w:rsidRPr="00084947" w:rsidRDefault="008D5BD1" w:rsidP="008D5BD1"/>
    <w:p w14:paraId="641EC9BA" w14:textId="77777777" w:rsidR="008D5BD1" w:rsidRPr="008D5BD1" w:rsidRDefault="008D5BD1" w:rsidP="008D5BD1">
      <w:pPr>
        <w:jc w:val="both"/>
      </w:pPr>
    </w:p>
    <w:sectPr w:rsidR="008D5BD1" w:rsidRPr="008D5BD1" w:rsidSect="00971839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26" w:right="848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1226" w14:textId="77777777" w:rsidR="005056C1" w:rsidRDefault="005056C1">
      <w:r>
        <w:separator/>
      </w:r>
    </w:p>
  </w:endnote>
  <w:endnote w:type="continuationSeparator" w:id="0">
    <w:p w14:paraId="163E13C9" w14:textId="77777777" w:rsidR="005056C1" w:rsidRDefault="0050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3D59" w14:textId="77777777" w:rsidR="007C424A" w:rsidRDefault="007C424A" w:rsidP="00016A1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EB973D8" w14:textId="77777777" w:rsidR="007C424A" w:rsidRDefault="007C424A" w:rsidP="00016A1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2D71" w14:textId="7E4D525A" w:rsidR="00414D47" w:rsidRDefault="00414D47">
    <w:pPr>
      <w:pStyle w:val="llb"/>
    </w:pPr>
  </w:p>
  <w:p w14:paraId="61232B67" w14:textId="77777777" w:rsidR="00414D47" w:rsidRDefault="00414D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B1AC1" w14:textId="77777777" w:rsidR="005056C1" w:rsidRDefault="005056C1">
      <w:r>
        <w:separator/>
      </w:r>
    </w:p>
  </w:footnote>
  <w:footnote w:type="continuationSeparator" w:id="0">
    <w:p w14:paraId="7007C6F4" w14:textId="77777777" w:rsidR="005056C1" w:rsidRDefault="00505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830C" w14:textId="49C5A8D6" w:rsidR="007C424A" w:rsidRDefault="00523C9E" w:rsidP="00414D47">
    <w:pPr>
      <w:pStyle w:val="lfej"/>
      <w:tabs>
        <w:tab w:val="left" w:pos="6237"/>
        <w:tab w:val="left" w:pos="6379"/>
      </w:tabs>
    </w:pPr>
    <w:r>
      <w:rPr>
        <w:noProof/>
      </w:rPr>
      <w:drawing>
        <wp:inline distT="0" distB="0" distL="0" distR="0" wp14:anchorId="0E164F10" wp14:editId="04B7D5DB">
          <wp:extent cx="3722077" cy="1340850"/>
          <wp:effectExtent l="0" t="0" r="0" b="0"/>
          <wp:docPr id="182534053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428" cy="1344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65434" w14:textId="77777777" w:rsidR="007C424A" w:rsidRDefault="007C424A" w:rsidP="004E7D4D">
    <w:pPr>
      <w:pStyle w:val="lfej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lowerRoman"/>
      <w:pStyle w:val="Cmsor3"/>
      <w:suff w:val="nothing"/>
      <w:lvlText w:val="%3."/>
      <w:lvlJc w:val="right"/>
      <w:pPr>
        <w:ind w:left="2160" w:hanging="1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661577"/>
    <w:multiLevelType w:val="hybridMultilevel"/>
    <w:tmpl w:val="659C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5B86"/>
    <w:multiLevelType w:val="hybridMultilevel"/>
    <w:tmpl w:val="2F86AB88"/>
    <w:lvl w:ilvl="0" w:tplc="EEF6F28A">
      <w:numFmt w:val="bullet"/>
      <w:lvlText w:val="-"/>
      <w:lvlJc w:val="left"/>
      <w:pPr>
        <w:ind w:left="1605" w:hanging="360"/>
      </w:pPr>
      <w:rPr>
        <w:rFonts w:ascii="Verdana" w:eastAsia="HG Mincho Light J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71779962">
    <w:abstractNumId w:val="0"/>
  </w:num>
  <w:num w:numId="2" w16cid:durableId="994185003">
    <w:abstractNumId w:val="2"/>
  </w:num>
  <w:num w:numId="3" w16cid:durableId="765080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5D"/>
    <w:rsid w:val="00002084"/>
    <w:rsid w:val="00012CF4"/>
    <w:rsid w:val="00016A13"/>
    <w:rsid w:val="00026131"/>
    <w:rsid w:val="00045F56"/>
    <w:rsid w:val="00060B52"/>
    <w:rsid w:val="000616BE"/>
    <w:rsid w:val="00064661"/>
    <w:rsid w:val="00076FCB"/>
    <w:rsid w:val="00091B28"/>
    <w:rsid w:val="00094555"/>
    <w:rsid w:val="00097C08"/>
    <w:rsid w:val="000A6E83"/>
    <w:rsid w:val="000A6FDA"/>
    <w:rsid w:val="000E40E1"/>
    <w:rsid w:val="000F5592"/>
    <w:rsid w:val="00106A10"/>
    <w:rsid w:val="001105F4"/>
    <w:rsid w:val="001142DA"/>
    <w:rsid w:val="0012155B"/>
    <w:rsid w:val="00124B74"/>
    <w:rsid w:val="00133D59"/>
    <w:rsid w:val="00143462"/>
    <w:rsid w:val="001735FD"/>
    <w:rsid w:val="001C69A3"/>
    <w:rsid w:val="001F36C0"/>
    <w:rsid w:val="002004BA"/>
    <w:rsid w:val="00203C0D"/>
    <w:rsid w:val="002206B9"/>
    <w:rsid w:val="0022362D"/>
    <w:rsid w:val="0023509C"/>
    <w:rsid w:val="00252CA2"/>
    <w:rsid w:val="0027007C"/>
    <w:rsid w:val="00280068"/>
    <w:rsid w:val="00281FA5"/>
    <w:rsid w:val="002B7ADD"/>
    <w:rsid w:val="002B7F49"/>
    <w:rsid w:val="002C02D1"/>
    <w:rsid w:val="002C08D7"/>
    <w:rsid w:val="002C08F7"/>
    <w:rsid w:val="002C1A0F"/>
    <w:rsid w:val="002D42D9"/>
    <w:rsid w:val="002E3EA2"/>
    <w:rsid w:val="002E4D23"/>
    <w:rsid w:val="002E50FF"/>
    <w:rsid w:val="002E5665"/>
    <w:rsid w:val="0030099C"/>
    <w:rsid w:val="003059D0"/>
    <w:rsid w:val="00306592"/>
    <w:rsid w:val="0031138D"/>
    <w:rsid w:val="00323318"/>
    <w:rsid w:val="0032380C"/>
    <w:rsid w:val="003505AB"/>
    <w:rsid w:val="00363D83"/>
    <w:rsid w:val="003943B8"/>
    <w:rsid w:val="00394A87"/>
    <w:rsid w:val="00394C7A"/>
    <w:rsid w:val="003A2EA2"/>
    <w:rsid w:val="003B6D55"/>
    <w:rsid w:val="003C10DC"/>
    <w:rsid w:val="003D144C"/>
    <w:rsid w:val="003E2766"/>
    <w:rsid w:val="003E4760"/>
    <w:rsid w:val="003F30F9"/>
    <w:rsid w:val="00414D47"/>
    <w:rsid w:val="00420DA9"/>
    <w:rsid w:val="00422F7E"/>
    <w:rsid w:val="00425258"/>
    <w:rsid w:val="00434A38"/>
    <w:rsid w:val="0043770A"/>
    <w:rsid w:val="0045077C"/>
    <w:rsid w:val="0045077D"/>
    <w:rsid w:val="00466B4D"/>
    <w:rsid w:val="004851EB"/>
    <w:rsid w:val="004C4BC9"/>
    <w:rsid w:val="004D005E"/>
    <w:rsid w:val="004D277A"/>
    <w:rsid w:val="004E7D4D"/>
    <w:rsid w:val="004F6695"/>
    <w:rsid w:val="005056C1"/>
    <w:rsid w:val="00506F26"/>
    <w:rsid w:val="0052318B"/>
    <w:rsid w:val="00523C9E"/>
    <w:rsid w:val="0053185D"/>
    <w:rsid w:val="00534D15"/>
    <w:rsid w:val="0054779A"/>
    <w:rsid w:val="005642BE"/>
    <w:rsid w:val="00564A32"/>
    <w:rsid w:val="00565666"/>
    <w:rsid w:val="00585A0E"/>
    <w:rsid w:val="00595B85"/>
    <w:rsid w:val="005B240A"/>
    <w:rsid w:val="005D4A3F"/>
    <w:rsid w:val="005E0970"/>
    <w:rsid w:val="0060064B"/>
    <w:rsid w:val="00605FF7"/>
    <w:rsid w:val="0061332E"/>
    <w:rsid w:val="00625297"/>
    <w:rsid w:val="006312E8"/>
    <w:rsid w:val="00636211"/>
    <w:rsid w:val="00641A1C"/>
    <w:rsid w:val="00674DD7"/>
    <w:rsid w:val="00675A53"/>
    <w:rsid w:val="00681103"/>
    <w:rsid w:val="006B0025"/>
    <w:rsid w:val="006C508B"/>
    <w:rsid w:val="006D7241"/>
    <w:rsid w:val="006F4C11"/>
    <w:rsid w:val="007061E0"/>
    <w:rsid w:val="007104A2"/>
    <w:rsid w:val="00736380"/>
    <w:rsid w:val="00745D6F"/>
    <w:rsid w:val="0077255B"/>
    <w:rsid w:val="00774F31"/>
    <w:rsid w:val="007A47AD"/>
    <w:rsid w:val="007C424A"/>
    <w:rsid w:val="007C4EA3"/>
    <w:rsid w:val="007F20CB"/>
    <w:rsid w:val="007F45EF"/>
    <w:rsid w:val="00824AC8"/>
    <w:rsid w:val="00843A80"/>
    <w:rsid w:val="008461FC"/>
    <w:rsid w:val="00854848"/>
    <w:rsid w:val="00867E7C"/>
    <w:rsid w:val="008736BC"/>
    <w:rsid w:val="0088672E"/>
    <w:rsid w:val="00892AF3"/>
    <w:rsid w:val="008951FD"/>
    <w:rsid w:val="00897968"/>
    <w:rsid w:val="008A6FD5"/>
    <w:rsid w:val="008B283A"/>
    <w:rsid w:val="008B5E35"/>
    <w:rsid w:val="008D5BD1"/>
    <w:rsid w:val="008E328F"/>
    <w:rsid w:val="008E381D"/>
    <w:rsid w:val="0093513E"/>
    <w:rsid w:val="00957692"/>
    <w:rsid w:val="00971839"/>
    <w:rsid w:val="00991B0E"/>
    <w:rsid w:val="00992F35"/>
    <w:rsid w:val="009C2B08"/>
    <w:rsid w:val="009D5B32"/>
    <w:rsid w:val="009E0CDC"/>
    <w:rsid w:val="009F6984"/>
    <w:rsid w:val="00A224A5"/>
    <w:rsid w:val="00A27A79"/>
    <w:rsid w:val="00A36E29"/>
    <w:rsid w:val="00A444F7"/>
    <w:rsid w:val="00AF607A"/>
    <w:rsid w:val="00B16162"/>
    <w:rsid w:val="00B22164"/>
    <w:rsid w:val="00B5375C"/>
    <w:rsid w:val="00B6364C"/>
    <w:rsid w:val="00BE03B1"/>
    <w:rsid w:val="00BF14B3"/>
    <w:rsid w:val="00C02334"/>
    <w:rsid w:val="00C6282C"/>
    <w:rsid w:val="00C71123"/>
    <w:rsid w:val="00C8358E"/>
    <w:rsid w:val="00C87D0B"/>
    <w:rsid w:val="00C927DD"/>
    <w:rsid w:val="00CA31AB"/>
    <w:rsid w:val="00CA3481"/>
    <w:rsid w:val="00CC5B3D"/>
    <w:rsid w:val="00CC5E04"/>
    <w:rsid w:val="00CF121A"/>
    <w:rsid w:val="00CF2806"/>
    <w:rsid w:val="00D133A2"/>
    <w:rsid w:val="00D37031"/>
    <w:rsid w:val="00D370B0"/>
    <w:rsid w:val="00D72F79"/>
    <w:rsid w:val="00D7476D"/>
    <w:rsid w:val="00D80CC5"/>
    <w:rsid w:val="00DA158E"/>
    <w:rsid w:val="00DA7F43"/>
    <w:rsid w:val="00DF2FEF"/>
    <w:rsid w:val="00E465AE"/>
    <w:rsid w:val="00E46853"/>
    <w:rsid w:val="00E60077"/>
    <w:rsid w:val="00E6602B"/>
    <w:rsid w:val="00EC7D13"/>
    <w:rsid w:val="00ED58AF"/>
    <w:rsid w:val="00ED7BB3"/>
    <w:rsid w:val="00F11559"/>
    <w:rsid w:val="00F1526E"/>
    <w:rsid w:val="00F371CC"/>
    <w:rsid w:val="00F4504D"/>
    <w:rsid w:val="00F5414C"/>
    <w:rsid w:val="00F55558"/>
    <w:rsid w:val="00F91181"/>
    <w:rsid w:val="00F94A1F"/>
    <w:rsid w:val="00FE4082"/>
    <w:rsid w:val="00F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85C87"/>
  <w15:chartTrackingRefBased/>
  <w15:docId w15:val="{F0FB3399-5B23-431B-8205-F437FEC2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outlineLvl w:val="0"/>
    </w:pPr>
    <w:rPr>
      <w:rFonts w:ascii="Tahoma" w:hAnsi="Tahoma"/>
      <w:b/>
      <w:sz w:val="84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outlineLvl w:val="1"/>
    </w:pPr>
    <w:rPr>
      <w:rFonts w:ascii="Tahoma" w:hAnsi="Tahoma"/>
      <w:i/>
      <w:sz w:val="14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tabs>
        <w:tab w:val="right" w:pos="5607"/>
      </w:tabs>
      <w:spacing w:line="360" w:lineRule="auto"/>
      <w:ind w:left="2727"/>
      <w:jc w:val="both"/>
      <w:outlineLvl w:val="2"/>
    </w:pPr>
    <w:rPr>
      <w:rFonts w:ascii="Times New Roman" w:hAnsi="Times New Roman"/>
      <w:b/>
    </w:rPr>
  </w:style>
  <w:style w:type="paragraph" w:styleId="Cmsor7">
    <w:name w:val="heading 7"/>
    <w:basedOn w:val="Norml"/>
    <w:next w:val="Norml"/>
    <w:qFormat/>
    <w:pPr>
      <w:keepNext/>
      <w:widowControl/>
      <w:numPr>
        <w:ilvl w:val="6"/>
        <w:numId w:val="1"/>
      </w:numPr>
      <w:suppressAutoHyphens w:val="0"/>
      <w:outlineLvl w:val="6"/>
    </w:pPr>
    <w:rPr>
      <w:rFonts w:ascii="Tahoma" w:hAnsi="Tahoma"/>
      <w:i/>
      <w:color w:val="C0C0C0"/>
      <w:kern w:val="20481"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Bekezdsalap-bettpusa">
    <w:name w:val="WW-Bekezdés alap-betűtípusa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Tblzattartalom">
    <w:name w:val="Táblázattartalom"/>
    <w:basedOn w:val="Szvegtrzs"/>
    <w:pPr>
      <w:suppressLineNumbers/>
    </w:pPr>
  </w:style>
  <w:style w:type="paragraph" w:customStyle="1" w:styleId="Kerettartalom">
    <w:name w:val="Kerettartalom"/>
    <w:basedOn w:val="Szvegtrzs"/>
  </w:style>
  <w:style w:type="paragraph" w:customStyle="1" w:styleId="Vzszintesvonal">
    <w:name w:val="Vízszintes vonal"/>
    <w:basedOn w:val="Norml"/>
    <w:next w:val="Szvegtrzs"/>
    <w:pPr>
      <w:suppressLineNumbers/>
      <w:pBdr>
        <w:bottom w:val="double" w:sz="1" w:space="0" w:color="808080"/>
      </w:pBdr>
      <w:spacing w:after="283"/>
    </w:pPr>
    <w:rPr>
      <w:sz w:val="12"/>
    </w:rPr>
  </w:style>
  <w:style w:type="paragraph" w:customStyle="1" w:styleId="Cmsoralap">
    <w:name w:val="Címsor alap"/>
    <w:basedOn w:val="Szvegtrzs"/>
    <w:next w:val="Szvegtrzs"/>
    <w:pPr>
      <w:keepNext/>
      <w:keepLines/>
      <w:spacing w:after="0"/>
      <w:jc w:val="left"/>
    </w:pPr>
    <w:rPr>
      <w:rFonts w:ascii="Arial Black" w:hAnsi="Arial Black"/>
      <w:spacing w:val="-10"/>
    </w:rPr>
  </w:style>
  <w:style w:type="paragraph" w:customStyle="1" w:styleId="Tblzatfejlc">
    <w:name w:val="Táblázatfejléc"/>
    <w:basedOn w:val="Tblzattartalom"/>
    <w:pPr>
      <w:jc w:val="center"/>
    </w:pPr>
    <w:rPr>
      <w:b/>
      <w:i/>
    </w:rPr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rPr>
      <w:rFonts w:ascii="Times New Roman" w:hAnsi="Times New Roman"/>
      <w:sz w:val="22"/>
    </w:rPr>
  </w:style>
  <w:style w:type="paragraph" w:styleId="llb">
    <w:name w:val="footer"/>
    <w:basedOn w:val="Norml"/>
    <w:link w:val="llbChar"/>
    <w:uiPriority w:val="99"/>
    <w:rsid w:val="00016A1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16A13"/>
  </w:style>
  <w:style w:type="paragraph" w:styleId="lfej">
    <w:name w:val="header"/>
    <w:basedOn w:val="Norml"/>
    <w:link w:val="lfejChar"/>
    <w:uiPriority w:val="99"/>
    <w:rsid w:val="00016A13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semiHidden/>
    <w:unhideWhenUsed/>
    <w:rsid w:val="007A47A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customStyle="1" w:styleId="lfejChar">
    <w:name w:val="Élőfej Char"/>
    <w:link w:val="lfej"/>
    <w:uiPriority w:val="99"/>
    <w:rsid w:val="007F20CB"/>
    <w:rPr>
      <w:rFonts w:ascii="Thorndale" w:eastAsia="HG Mincho Light J" w:hAnsi="Thorndale"/>
      <w:color w:val="000000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20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F20CB"/>
    <w:rPr>
      <w:rFonts w:ascii="Tahoma" w:eastAsia="HG Mincho Light J" w:hAnsi="Tahoma" w:cs="Tahoma"/>
      <w:color w:val="000000"/>
      <w:sz w:val="16"/>
      <w:szCs w:val="16"/>
    </w:rPr>
  </w:style>
  <w:style w:type="character" w:customStyle="1" w:styleId="llbChar">
    <w:name w:val="Élőláb Char"/>
    <w:link w:val="llb"/>
    <w:uiPriority w:val="99"/>
    <w:rsid w:val="00414D47"/>
    <w:rPr>
      <w:rFonts w:ascii="Thorndale" w:eastAsia="HG Mincho Light J" w:hAnsi="Thornda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svari.gyula@mik.pt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FAX</vt:lpstr>
    </vt:vector>
  </TitlesOfParts>
  <Company>Ferling PR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ferling</dc:creator>
  <cp:keywords/>
  <cp:lastModifiedBy>Kis Tünde</cp:lastModifiedBy>
  <cp:revision>3</cp:revision>
  <cp:lastPrinted>2003-07-24T12:44:00Z</cp:lastPrinted>
  <dcterms:created xsi:type="dcterms:W3CDTF">2025-12-09T07:28:00Z</dcterms:created>
  <dcterms:modified xsi:type="dcterms:W3CDTF">2025-12-15T07:35:00Z</dcterms:modified>
</cp:coreProperties>
</file>