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ED626FF" w14:textId="77777777" w:rsidR="004B023F" w:rsidRDefault="004B023F" w:rsidP="004B023F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  <w:r w:rsidRPr="004B023F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 xml:space="preserve">Díszdoktori és címzetes egyetemi tanári címet kapott </w:t>
      </w:r>
    </w:p>
    <w:p w14:paraId="5C6158D2" w14:textId="61C28787" w:rsidR="004B023F" w:rsidRPr="004B023F" w:rsidRDefault="004B023F" w:rsidP="004B023F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  <w:r w:rsidRPr="004B023F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>a PTE MIK két nemzetközi professzora</w:t>
      </w:r>
    </w:p>
    <w:p w14:paraId="1D9958AB" w14:textId="77777777" w:rsidR="004B023F" w:rsidRPr="004B023F" w:rsidRDefault="004B023F" w:rsidP="004B023F">
      <w:pPr>
        <w:widowControl/>
        <w:suppressAutoHyphens w:val="0"/>
        <w:spacing w:line="259" w:lineRule="auto"/>
        <w:jc w:val="center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1EEB4C93" w14:textId="77777777" w:rsidR="004B023F" w:rsidRPr="004B023F" w:rsidRDefault="004B023F" w:rsidP="004B023F">
      <w:pPr>
        <w:widowControl/>
        <w:suppressAutoHyphens w:val="0"/>
        <w:spacing w:line="259" w:lineRule="auto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43E55C93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</w:pPr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A kínai </w:t>
      </w:r>
      <w:proofErr w:type="spellStart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Beihai</w:t>
      </w:r>
      <w:proofErr w:type="spellEnd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University of Art and Design (BUAD) és a Pécsi Tudományegyetem (PTE) hosszú évek óta bővülő, és a jövőben további lehetőségekkel kecsegtető együttműködésére tekintettel a pécsi egyetem </w:t>
      </w:r>
      <w:proofErr w:type="spellStart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Doctor</w:t>
      </w:r>
      <w:proofErr w:type="spellEnd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Honoris Causa címet adományozott </w:t>
      </w:r>
      <w:proofErr w:type="spellStart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Zheng</w:t>
      </w:r>
      <w:proofErr w:type="spellEnd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Nianyi</w:t>
      </w:r>
      <w:proofErr w:type="spellEnd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, a BUAD rektorhelyettese számára, prof. </w:t>
      </w:r>
      <w:proofErr w:type="spellStart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Fabrizio</w:t>
      </w:r>
      <w:proofErr w:type="spellEnd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Finuccit</w:t>
      </w:r>
      <w:proofErr w:type="spellEnd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, a Roma </w:t>
      </w:r>
      <w:proofErr w:type="spellStart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>Tre</w:t>
      </w:r>
      <w:proofErr w:type="spellEnd"/>
      <w:r w:rsidRPr="004B023F">
        <w:rPr>
          <w:rFonts w:ascii="Calibri" w:eastAsia="Times New Roman" w:hAnsi="Calibri" w:cs="Calibri"/>
          <w:b/>
          <w:bCs/>
          <w:color w:val="auto"/>
          <w:kern w:val="2"/>
          <w:sz w:val="22"/>
          <w:szCs w:val="22"/>
          <w:lang w:eastAsia="en-US"/>
        </w:rPr>
        <w:t xml:space="preserve"> Egyetem Építészeti Karának egyetemi docensét pedig több mint egy évtizedes oktatói, kutatói, a PTE Műszaki és Informatikai Karával (PTE MIK) folytatott intenzív együttműködése elismeréséül címzetes egyetemi tanárrá nevezte ki. Mindkét professzor szakmai tudásával, hozzáállásával jelentősen hozzájárult a pécsi egyetemi kar nemzetközi kapcsolatainak erősítéséhez.</w:t>
      </w:r>
    </w:p>
    <w:p w14:paraId="511D3D95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69D05039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Zheng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Nianyi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a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University of Art and Design-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on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jelenleg az egyetem képzési programjaiért felelős rektorhelyettes, a kezdetektől kíséri a BUAD és PTE MIK közötti együttműködést. A 2016-tól datált közös akciók mára stratégiai szintű léptékűvé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nőtték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ki magukat. A kapcsolat eddig két fő pilléren nyugodott: az ún. ’Pécs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Class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Program’-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on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, illetve a ’MIK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Scholarship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of Excellence’ ösztöndíjprogramon. Előbbi egy kétéves képzési tervet foglal magában, ami a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beihaiak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a PTE MIK építészképzésére való jelentkezését támogatja magas óraszámban biztosított angolnyelv-órákkal, valamint építészeti, kreatív és vizuális kommunikációs készséget fejlesztő gyakorlati kurzusokkal. A kurzusok nagy része pécsi oktatói részvétellel vagy tantárgyi validációval zajlik. Utóbbi pillér pedig egyfajta hallgatói kiválósági ösztöndíjprogramot takar, ezt a felvételi pontok alapján a legjobban teljesítő három hallgató nyerheti el. 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Zheng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Nianyi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aktív közreműködésével egy 2-2 hetes szakmai képzéssorozat szerveződött hallgatók, illetve oktatásfejlesztők, vezetők számára, ennek mérföldkövei kapcsán 2023-ban kötött megállapodást a két partnerintézmény vezetése. </w:t>
      </w:r>
    </w:p>
    <w:p w14:paraId="77A28567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30E4B36F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2024 tavaszán zajlott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Beihaiban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a kortárs építészet és ipari formatervezés felsőoktatási intézményi gyakorlatát és oktatását fókuszba helyező </w:t>
      </w:r>
      <w:r w:rsidRPr="004B023F">
        <w:rPr>
          <w:rFonts w:ascii="Calibri" w:eastAsia="Times New Roman" w:hAnsi="Calibri" w:cs="Calibri"/>
          <w:i/>
          <w:iCs/>
          <w:color w:val="auto"/>
          <w:kern w:val="2"/>
          <w:sz w:val="22"/>
          <w:szCs w:val="22"/>
          <w:lang w:eastAsia="en-US"/>
        </w:rPr>
        <w:t xml:space="preserve">’Design </w:t>
      </w:r>
      <w:proofErr w:type="spellStart"/>
      <w:r w:rsidRPr="004B023F">
        <w:rPr>
          <w:rFonts w:ascii="Calibri" w:eastAsia="Times New Roman" w:hAnsi="Calibri" w:cs="Calibri"/>
          <w:i/>
          <w:iCs/>
          <w:color w:val="auto"/>
          <w:kern w:val="2"/>
          <w:sz w:val="22"/>
          <w:szCs w:val="22"/>
          <w:lang w:eastAsia="en-US"/>
        </w:rPr>
        <w:t>Saloon</w:t>
      </w:r>
      <w:proofErr w:type="spellEnd"/>
      <w:r w:rsidRPr="004B023F">
        <w:rPr>
          <w:rFonts w:ascii="Calibri" w:eastAsia="Times New Roman" w:hAnsi="Calibri" w:cs="Calibri"/>
          <w:i/>
          <w:iCs/>
          <w:color w:val="auto"/>
          <w:kern w:val="2"/>
          <w:sz w:val="22"/>
          <w:szCs w:val="22"/>
          <w:lang w:eastAsia="en-US"/>
        </w:rPr>
        <w:t>’</w:t>
      </w:r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. A nagysikerű programot 2025 tavaszán hasonló kétoldali rövid kurzus követte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Beihaiban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. Az elmúlt két évben a Pécsre érkezett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beihai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delegációval oktatásra, kutatásra, módszertanokra vonatkozó aktív workshop zajlott. „Intézményünk számára számos előnnyel jár a két egyetem közötti együttműködés. Hozzájárul nemzetközi akadémiai kapcsolataink bővítéséhez, és lehetővé teszi, hogy az európai oktatási módszereket és szemléletmódokat beépítsük a képzési programjainkba. Az oktatói csereprogramok, a közös tananyagfejlesztés, valamint az olyan szakmai fórumok, mint a »4.0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Era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of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Architectural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Design Education« elnevezésű szakmai vita mind a képzés színvonalának emelését és a kutatási tevékenység erősítését szolgálják. A közös képzési programok révén a hallgatóknak lehetőségük nyílik arra, hogy tanulmányaik egy részét külföldön folytassák, megismerjék a különböző oktatási rendszereket, valamint mindkét intézmény oktatóitól tanuljanak. A közös projektekben való részvétel – különös tekintettel azokra, amelyek az építészetet, a formatervezést, a technológiát és a kulturális örökséget kapcsolják össze – segíti a gyakorlati készségek fejlesztését, miközben ráirányítja a figyelmet a tervezői munka kulturális összefüggéseire is. Ennek eredményeként a hallgatók nemcsak jól felkészült szakemberekké válnak, hanem olyan kulturális közvetítőkké is, akik hidat építhetnek a különböző hagyományok és formatervezési szemléletek között” – véli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Zheng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Nianyi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, a PTE frissen kinevezett díszdoktora.</w:t>
      </w:r>
    </w:p>
    <w:p w14:paraId="50C47C45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1CE03FD5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Több mint egy évtizedes oktatói, kutatói és a PTE MIK-kel folytatott intenzív együttműködése elismeréséül címzetes egyetemi tanár címet kapott prof.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arch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.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Fabrizio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Finucci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PhD, a Roma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Tre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Egyetem Építészeti Karának egyetemi </w:t>
      </w:r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lastRenderedPageBreak/>
        <w:t xml:space="preserve">docense.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Finucci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professzor számos hazai és nemzetközi kutatási program tudományos felelőse, publikációi rangos nemzetközi szakmai folyóiratokban jelennek meg, konferenciakiadványok és monográfiák szerzője, illetve társszerzője. Több kontinensen tartott vendégprofesszori előadásokat és kurzusokat, így a PTE-n is, amely közvetlenül hozzájárult a nemzetközi építészeti oktatás fejlődéséhez. Az Erasmus-program koordinátoraként a Roma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Tre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Egyetemen felelős az európai és mediterrán országokkal, köztük Magyarországgal folytatott együttműködésekért, ennek révén jelentősen bővült a PTE és a Roma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Tre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közötti hallgatói és oktatói mobilitás. Számos nemzetközi kutatási projekt vezető kutatója volt. Kiemelkedő tudományos és oktatói teljesítménye mellett hosszú éveken át tartó elkötelezett munkájával aktívan támogatta a PTE MIK oktatóinak és hallgatóinak szakmai fejlődését. Tevékenysége hozzájárult a kar nemzetközi láthatóságának növeléséhez, oktatási programjainak gazdagításához és a kutatási együttműködéseik erősítéséhez.</w:t>
      </w:r>
    </w:p>
    <w:p w14:paraId="61FD7CE8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54ADC8C4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„A PTE MIK-vel való partnerség lehetővé tette közös kutatási kezdeményezések kidolgozását, amelyek elsősorban nemzetközi versenypályázatokban való részvételre irányulnak. Az Erasmus/Pannonia megállapodások konszolidációjának köszönhetően az elmúlt két évben nőtt – különösen Pécsről Rómába – a hallgatói mobilitás. Az akadémiai csereprogramok erősítik a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nemzetköziességet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, és elősegítik az interkulturális, interdiszciplináris párbeszédet. A nemzetközi partnerségek elősegítik a tudás megosztását és a különböző tudományos megközelítéseket az építészet és a városkutatás számos tematikus területén. A PTE MIK-kel való együttműködés értékes lehetőségeket kínál a diákoknak a nemzetközi mobilitásra. Ezeken a tapasztalatokon keresztül különböző akadémiai környezetekkel találkoznak, közös oktatási tevékenységekben vesznek részt, és új megközelítéseket fejlesztenek ki a bonyolult kihívások kezelésére. A csereprogramok különösen az építészet területén teszik lehetővé, hogy a hallgatók sokféle nézőponttal foglalkozzanak városi és területi kérdésekben, erősítve ezzel elemzőkészségeiket, interkulturális kompetenciájukat és problémamegoldó képességüket. Ezek a tapasztalatok szélesítik akadémiai látókörüket, és jobban felkészítik őket a nemzetközi szakmai és kutatási kontextusokra, miközben elősegítik az európai állampolgárság közös érzését” – foglalja össze röviden a két intézmény közötti kapcsolat előnyeit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Fabrizio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 xml:space="preserve"> </w:t>
      </w:r>
      <w:proofErr w:type="spellStart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Finucci</w:t>
      </w:r>
      <w:proofErr w:type="spellEnd"/>
      <w:r w:rsidRPr="004B023F"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  <w:t>, a PTE frissen kinevezett címzetes egyetemi tanára.</w:t>
      </w:r>
    </w:p>
    <w:p w14:paraId="29FBE40A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3F682F7F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1AF2E924" w14:textId="4EE105C6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</w:pPr>
      <w:r w:rsidRPr="004B023F">
        <w:rPr>
          <w:rFonts w:ascii="Calibri" w:eastAsia="Times New Roman" w:hAnsi="Calibri" w:cs="Calibri"/>
          <w:b/>
          <w:bCs/>
          <w:color w:val="auto"/>
          <w:kern w:val="2"/>
          <w:sz w:val="28"/>
          <w:szCs w:val="28"/>
          <w:lang w:eastAsia="en-US"/>
        </w:rPr>
        <w:t>További információ a sajtó számára:</w:t>
      </w:r>
    </w:p>
    <w:p w14:paraId="14314FCF" w14:textId="77777777" w:rsidR="004B023F" w:rsidRPr="004B023F" w:rsidRDefault="004B023F" w:rsidP="004B023F">
      <w:pPr>
        <w:widowControl/>
        <w:suppressAutoHyphens w:val="0"/>
        <w:spacing w:line="259" w:lineRule="auto"/>
        <w:jc w:val="both"/>
        <w:rPr>
          <w:rFonts w:ascii="Calibri" w:eastAsia="Times New Roman" w:hAnsi="Calibri" w:cs="Calibri"/>
          <w:color w:val="auto"/>
          <w:kern w:val="2"/>
          <w:sz w:val="22"/>
          <w:szCs w:val="22"/>
          <w:lang w:eastAsia="en-US"/>
        </w:rPr>
      </w:pPr>
    </w:p>
    <w:p w14:paraId="68682A54" w14:textId="77777777" w:rsidR="004B023F" w:rsidRPr="000100AF" w:rsidRDefault="004B023F" w:rsidP="004B023F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100A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Dr. Medvegy Gabriella dékán – PTE MIK</w:t>
      </w:r>
    </w:p>
    <w:p w14:paraId="7F2CC921" w14:textId="77777777" w:rsidR="004B023F" w:rsidRPr="000100AF" w:rsidRDefault="004B023F" w:rsidP="004B023F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100A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 xml:space="preserve">Tel.: +36 30 606 11 95 </w:t>
      </w:r>
    </w:p>
    <w:p w14:paraId="742CF76A" w14:textId="77777777" w:rsidR="004B023F" w:rsidRPr="000100AF" w:rsidRDefault="004B023F" w:rsidP="004B023F">
      <w:pPr>
        <w:widowControl/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</w:pPr>
      <w:r w:rsidRPr="000100AF"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t>E-mail: medvegy.gabriella@mik.pte.hu</w:t>
      </w:r>
    </w:p>
    <w:p w14:paraId="7C1C843B" w14:textId="77777777" w:rsidR="004B023F" w:rsidRPr="00B97974" w:rsidRDefault="004B023F" w:rsidP="004B023F"/>
    <w:p w14:paraId="44449BEF" w14:textId="77777777" w:rsidR="007061E0" w:rsidRPr="004B023F" w:rsidRDefault="007061E0" w:rsidP="004B023F"/>
    <w:sectPr w:rsidR="007061E0" w:rsidRPr="004B023F" w:rsidSect="00971839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26" w:right="848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CCA2" w14:textId="77777777" w:rsidR="005759E6" w:rsidRDefault="005759E6">
      <w:r>
        <w:separator/>
      </w:r>
    </w:p>
  </w:endnote>
  <w:endnote w:type="continuationSeparator" w:id="0">
    <w:p w14:paraId="36944B7A" w14:textId="77777777" w:rsidR="005759E6" w:rsidRDefault="0057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3D59" w14:textId="77777777" w:rsidR="007C424A" w:rsidRDefault="007C424A" w:rsidP="00016A1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EB973D8" w14:textId="77777777" w:rsidR="007C424A" w:rsidRDefault="007C424A" w:rsidP="00016A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D71" w14:textId="7E4D525A" w:rsidR="00414D47" w:rsidRDefault="00414D47">
    <w:pPr>
      <w:pStyle w:val="llb"/>
    </w:pPr>
  </w:p>
  <w:p w14:paraId="61232B67" w14:textId="77777777" w:rsidR="00414D47" w:rsidRDefault="00414D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8CCA" w14:textId="77777777" w:rsidR="005759E6" w:rsidRDefault="005759E6">
      <w:r>
        <w:separator/>
      </w:r>
    </w:p>
  </w:footnote>
  <w:footnote w:type="continuationSeparator" w:id="0">
    <w:p w14:paraId="07C09F0A" w14:textId="77777777" w:rsidR="005759E6" w:rsidRDefault="0057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E830C" w14:textId="49C5A8D6" w:rsidR="007C424A" w:rsidRDefault="00523C9E" w:rsidP="00414D47">
    <w:pPr>
      <w:pStyle w:val="lfej"/>
      <w:tabs>
        <w:tab w:val="left" w:pos="6237"/>
        <w:tab w:val="left" w:pos="6379"/>
      </w:tabs>
    </w:pPr>
    <w:r>
      <w:rPr>
        <w:noProof/>
      </w:rPr>
      <w:drawing>
        <wp:inline distT="0" distB="0" distL="0" distR="0" wp14:anchorId="0E164F10" wp14:editId="04B7D5DB">
          <wp:extent cx="3722077" cy="1340850"/>
          <wp:effectExtent l="0" t="0" r="0" b="0"/>
          <wp:docPr id="182534053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428" cy="1344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65434" w14:textId="77777777" w:rsidR="007C424A" w:rsidRDefault="007C424A" w:rsidP="004E7D4D">
    <w:pPr>
      <w:pStyle w:val="lfej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>
      <w:start w:val="1"/>
      <w:numFmt w:val="lowerRoman"/>
      <w:pStyle w:val="Cmsor3"/>
      <w:suff w:val="nothing"/>
      <w:lvlText w:val="%3."/>
      <w:lvlJc w:val="right"/>
      <w:pPr>
        <w:ind w:left="216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F661577"/>
    <w:multiLevelType w:val="hybridMultilevel"/>
    <w:tmpl w:val="659C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5B86"/>
    <w:multiLevelType w:val="hybridMultilevel"/>
    <w:tmpl w:val="2F86AB88"/>
    <w:lvl w:ilvl="0" w:tplc="EEF6F28A">
      <w:numFmt w:val="bullet"/>
      <w:lvlText w:val="-"/>
      <w:lvlJc w:val="left"/>
      <w:pPr>
        <w:ind w:left="1605" w:hanging="360"/>
      </w:pPr>
      <w:rPr>
        <w:rFonts w:ascii="Verdana" w:eastAsia="HG Mincho Light J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71779962">
    <w:abstractNumId w:val="0"/>
  </w:num>
  <w:num w:numId="2" w16cid:durableId="994185003">
    <w:abstractNumId w:val="2"/>
  </w:num>
  <w:num w:numId="3" w16cid:durableId="765080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002084"/>
    <w:rsid w:val="00012CF4"/>
    <w:rsid w:val="00016A13"/>
    <w:rsid w:val="00026131"/>
    <w:rsid w:val="00045F56"/>
    <w:rsid w:val="00060B52"/>
    <w:rsid w:val="000616BE"/>
    <w:rsid w:val="00064661"/>
    <w:rsid w:val="00076FCB"/>
    <w:rsid w:val="00091B28"/>
    <w:rsid w:val="00094555"/>
    <w:rsid w:val="00097C08"/>
    <w:rsid w:val="000A6E83"/>
    <w:rsid w:val="000A6FDA"/>
    <w:rsid w:val="000E40E1"/>
    <w:rsid w:val="000F5592"/>
    <w:rsid w:val="00106A10"/>
    <w:rsid w:val="001105F4"/>
    <w:rsid w:val="001142DA"/>
    <w:rsid w:val="0012155B"/>
    <w:rsid w:val="00124B74"/>
    <w:rsid w:val="00133D59"/>
    <w:rsid w:val="00143462"/>
    <w:rsid w:val="001735FD"/>
    <w:rsid w:val="001C69A3"/>
    <w:rsid w:val="001F36C0"/>
    <w:rsid w:val="002004BA"/>
    <w:rsid w:val="00203C0D"/>
    <w:rsid w:val="0022362D"/>
    <w:rsid w:val="0023509C"/>
    <w:rsid w:val="00252CA2"/>
    <w:rsid w:val="0027007C"/>
    <w:rsid w:val="00280068"/>
    <w:rsid w:val="00281FA5"/>
    <w:rsid w:val="002B7ADD"/>
    <w:rsid w:val="002B7F49"/>
    <w:rsid w:val="002C02D1"/>
    <w:rsid w:val="002C08D7"/>
    <w:rsid w:val="002C08F7"/>
    <w:rsid w:val="002C1A0F"/>
    <w:rsid w:val="002D42D9"/>
    <w:rsid w:val="002E3EA2"/>
    <w:rsid w:val="002E4D23"/>
    <w:rsid w:val="002E50FF"/>
    <w:rsid w:val="002E5665"/>
    <w:rsid w:val="0030099C"/>
    <w:rsid w:val="003059D0"/>
    <w:rsid w:val="00306592"/>
    <w:rsid w:val="0031138D"/>
    <w:rsid w:val="00323318"/>
    <w:rsid w:val="0032380C"/>
    <w:rsid w:val="003505AB"/>
    <w:rsid w:val="00355D14"/>
    <w:rsid w:val="00363D83"/>
    <w:rsid w:val="003943B8"/>
    <w:rsid w:val="00394A87"/>
    <w:rsid w:val="00394C7A"/>
    <w:rsid w:val="003A2EA2"/>
    <w:rsid w:val="003B6D55"/>
    <w:rsid w:val="003C10DC"/>
    <w:rsid w:val="003D144C"/>
    <w:rsid w:val="003E2766"/>
    <w:rsid w:val="003E4760"/>
    <w:rsid w:val="003F30F9"/>
    <w:rsid w:val="00414D47"/>
    <w:rsid w:val="00420DA9"/>
    <w:rsid w:val="00422F7E"/>
    <w:rsid w:val="00425258"/>
    <w:rsid w:val="00434A38"/>
    <w:rsid w:val="0043770A"/>
    <w:rsid w:val="0045077C"/>
    <w:rsid w:val="0045077D"/>
    <w:rsid w:val="00466B4D"/>
    <w:rsid w:val="004851EB"/>
    <w:rsid w:val="004B023F"/>
    <w:rsid w:val="004C4BC9"/>
    <w:rsid w:val="004D005E"/>
    <w:rsid w:val="004D277A"/>
    <w:rsid w:val="004E7D4D"/>
    <w:rsid w:val="004F6695"/>
    <w:rsid w:val="00506F26"/>
    <w:rsid w:val="0052318B"/>
    <w:rsid w:val="00523C9E"/>
    <w:rsid w:val="0053185D"/>
    <w:rsid w:val="0054779A"/>
    <w:rsid w:val="005642BE"/>
    <w:rsid w:val="00564A32"/>
    <w:rsid w:val="00565666"/>
    <w:rsid w:val="005759E6"/>
    <w:rsid w:val="00585A0E"/>
    <w:rsid w:val="00595B85"/>
    <w:rsid w:val="005B240A"/>
    <w:rsid w:val="005D4A3F"/>
    <w:rsid w:val="005E0970"/>
    <w:rsid w:val="0060064B"/>
    <w:rsid w:val="00605FF7"/>
    <w:rsid w:val="0061332E"/>
    <w:rsid w:val="00625297"/>
    <w:rsid w:val="006312E8"/>
    <w:rsid w:val="00641A1C"/>
    <w:rsid w:val="00674DD7"/>
    <w:rsid w:val="00675A53"/>
    <w:rsid w:val="00681103"/>
    <w:rsid w:val="006B0025"/>
    <w:rsid w:val="006C508B"/>
    <w:rsid w:val="006D7241"/>
    <w:rsid w:val="006F4C11"/>
    <w:rsid w:val="007061E0"/>
    <w:rsid w:val="007104A2"/>
    <w:rsid w:val="00736380"/>
    <w:rsid w:val="00745D6F"/>
    <w:rsid w:val="0077255B"/>
    <w:rsid w:val="00774F31"/>
    <w:rsid w:val="007A47AD"/>
    <w:rsid w:val="007C424A"/>
    <w:rsid w:val="007C4EA3"/>
    <w:rsid w:val="007F20CB"/>
    <w:rsid w:val="007F45EF"/>
    <w:rsid w:val="00824AC8"/>
    <w:rsid w:val="00843A80"/>
    <w:rsid w:val="008461FC"/>
    <w:rsid w:val="00854848"/>
    <w:rsid w:val="00867E7C"/>
    <w:rsid w:val="008736BC"/>
    <w:rsid w:val="0088672E"/>
    <w:rsid w:val="00892AF3"/>
    <w:rsid w:val="008951FD"/>
    <w:rsid w:val="00897968"/>
    <w:rsid w:val="008A6FD5"/>
    <w:rsid w:val="008B283A"/>
    <w:rsid w:val="008B5E35"/>
    <w:rsid w:val="008E328F"/>
    <w:rsid w:val="008E381D"/>
    <w:rsid w:val="0093513E"/>
    <w:rsid w:val="00957692"/>
    <w:rsid w:val="00971839"/>
    <w:rsid w:val="00991B0E"/>
    <w:rsid w:val="00992F35"/>
    <w:rsid w:val="009C2B08"/>
    <w:rsid w:val="009D5B32"/>
    <w:rsid w:val="009E0CDC"/>
    <w:rsid w:val="009F6984"/>
    <w:rsid w:val="00A224A5"/>
    <w:rsid w:val="00A27A79"/>
    <w:rsid w:val="00A36E29"/>
    <w:rsid w:val="00A444F7"/>
    <w:rsid w:val="00AF607A"/>
    <w:rsid w:val="00B16162"/>
    <w:rsid w:val="00B22164"/>
    <w:rsid w:val="00B5375C"/>
    <w:rsid w:val="00B6364C"/>
    <w:rsid w:val="00BE03B1"/>
    <w:rsid w:val="00BF14B3"/>
    <w:rsid w:val="00C02334"/>
    <w:rsid w:val="00C6282C"/>
    <w:rsid w:val="00C71123"/>
    <w:rsid w:val="00C8358E"/>
    <w:rsid w:val="00C87D0B"/>
    <w:rsid w:val="00C927DD"/>
    <w:rsid w:val="00CA31AB"/>
    <w:rsid w:val="00CA3481"/>
    <w:rsid w:val="00CC5B3D"/>
    <w:rsid w:val="00CC5E04"/>
    <w:rsid w:val="00CF121A"/>
    <w:rsid w:val="00CF2806"/>
    <w:rsid w:val="00D133A2"/>
    <w:rsid w:val="00D37031"/>
    <w:rsid w:val="00D370B0"/>
    <w:rsid w:val="00D72F79"/>
    <w:rsid w:val="00D7476D"/>
    <w:rsid w:val="00D80CC5"/>
    <w:rsid w:val="00DA158E"/>
    <w:rsid w:val="00DA7F43"/>
    <w:rsid w:val="00DF2FEF"/>
    <w:rsid w:val="00E465AE"/>
    <w:rsid w:val="00E46853"/>
    <w:rsid w:val="00E60077"/>
    <w:rsid w:val="00E6602B"/>
    <w:rsid w:val="00EC7D13"/>
    <w:rsid w:val="00ED58AF"/>
    <w:rsid w:val="00ED7BB3"/>
    <w:rsid w:val="00F11559"/>
    <w:rsid w:val="00F1526E"/>
    <w:rsid w:val="00F371CC"/>
    <w:rsid w:val="00F4504D"/>
    <w:rsid w:val="00F5414C"/>
    <w:rsid w:val="00F55558"/>
    <w:rsid w:val="00F91181"/>
    <w:rsid w:val="00F94A1F"/>
    <w:rsid w:val="00FE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85C87"/>
  <w15:chartTrackingRefBased/>
  <w15:docId w15:val="{F0FB3399-5B23-431B-8205-F437FEC2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outlineLvl w:val="0"/>
    </w:pPr>
    <w:rPr>
      <w:rFonts w:ascii="Tahoma" w:hAnsi="Tahoma"/>
      <w:b/>
      <w:sz w:val="84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outlineLvl w:val="1"/>
    </w:pPr>
    <w:rPr>
      <w:rFonts w:ascii="Tahoma" w:hAnsi="Tahoma"/>
      <w:i/>
      <w:sz w:val="14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tabs>
        <w:tab w:val="right" w:pos="5607"/>
      </w:tabs>
      <w:spacing w:line="360" w:lineRule="auto"/>
      <w:ind w:left="2727"/>
      <w:jc w:val="both"/>
      <w:outlineLvl w:val="2"/>
    </w:pPr>
    <w:rPr>
      <w:rFonts w:ascii="Times New Roman" w:hAnsi="Times New Roman"/>
      <w:b/>
    </w:rPr>
  </w:style>
  <w:style w:type="paragraph" w:styleId="Cmsor7">
    <w:name w:val="heading 7"/>
    <w:basedOn w:val="Norml"/>
    <w:next w:val="Norml"/>
    <w:qFormat/>
    <w:pPr>
      <w:keepNext/>
      <w:widowControl/>
      <w:numPr>
        <w:ilvl w:val="6"/>
        <w:numId w:val="1"/>
      </w:numPr>
      <w:suppressAutoHyphens w:val="0"/>
      <w:outlineLvl w:val="6"/>
    </w:pPr>
    <w:rPr>
      <w:rFonts w:ascii="Tahoma" w:hAnsi="Tahoma"/>
      <w:i/>
      <w:color w:val="C0C0C0"/>
      <w:kern w:val="20481"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-bettpusa">
    <w:name w:val="WW-Bekezdés alap-betűtípusa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lbany" w:hAnsi="Albany"/>
      <w:sz w:val="28"/>
    </w:rPr>
  </w:style>
  <w:style w:type="paragraph" w:styleId="Szvegtrzs">
    <w:name w:val="Body Text"/>
    <w:basedOn w:val="Norm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Tblzattartalom">
    <w:name w:val="Táblázattartalom"/>
    <w:basedOn w:val="Szvegtrzs"/>
    <w:pPr>
      <w:suppressLineNumbers/>
    </w:pPr>
  </w:style>
  <w:style w:type="paragraph" w:customStyle="1" w:styleId="Kerettartalom">
    <w:name w:val="Kerettartalom"/>
    <w:basedOn w:val="Szvegtrzs"/>
  </w:style>
  <w:style w:type="paragraph" w:customStyle="1" w:styleId="Vzszintesvonal">
    <w:name w:val="Vízszintes vonal"/>
    <w:basedOn w:val="Norml"/>
    <w:next w:val="Szvegtrzs"/>
    <w:pPr>
      <w:suppressLineNumbers/>
      <w:pBdr>
        <w:bottom w:val="double" w:sz="1" w:space="0" w:color="808080"/>
      </w:pBdr>
      <w:spacing w:after="283"/>
    </w:pPr>
    <w:rPr>
      <w:sz w:val="12"/>
    </w:rPr>
  </w:style>
  <w:style w:type="paragraph" w:customStyle="1" w:styleId="Cmsoralap">
    <w:name w:val="Címsor alap"/>
    <w:basedOn w:val="Szvegtrzs"/>
    <w:next w:val="Szvegtrzs"/>
    <w:pPr>
      <w:keepNext/>
      <w:keepLines/>
      <w:spacing w:after="0"/>
      <w:jc w:val="left"/>
    </w:pPr>
    <w:rPr>
      <w:rFonts w:ascii="Arial Black" w:hAnsi="Arial Black"/>
      <w:spacing w:val="-10"/>
    </w:rPr>
  </w:style>
  <w:style w:type="paragraph" w:customStyle="1" w:styleId="Tblzatfejlc">
    <w:name w:val="Táblázatfejléc"/>
    <w:basedOn w:val="Tblzattartalom"/>
    <w:pPr>
      <w:jc w:val="center"/>
    </w:pPr>
    <w:rPr>
      <w:b/>
      <w:i/>
    </w:rPr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rPr>
      <w:rFonts w:ascii="Times New Roman" w:hAnsi="Times New Roman"/>
      <w:sz w:val="22"/>
    </w:rPr>
  </w:style>
  <w:style w:type="paragraph" w:styleId="llb">
    <w:name w:val="footer"/>
    <w:basedOn w:val="Norml"/>
    <w:link w:val="llbChar"/>
    <w:uiPriority w:val="99"/>
    <w:rsid w:val="00016A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16A13"/>
  </w:style>
  <w:style w:type="paragraph" w:styleId="lfej">
    <w:name w:val="header"/>
    <w:basedOn w:val="Norml"/>
    <w:link w:val="lfejChar"/>
    <w:uiPriority w:val="99"/>
    <w:rsid w:val="00016A13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semiHidden/>
    <w:unhideWhenUsed/>
    <w:rsid w:val="007A47A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lfejChar">
    <w:name w:val="Élőfej Char"/>
    <w:link w:val="lfej"/>
    <w:uiPriority w:val="99"/>
    <w:rsid w:val="007F20CB"/>
    <w:rPr>
      <w:rFonts w:ascii="Thorndale" w:eastAsia="HG Mincho Light J" w:hAnsi="Thorndale"/>
      <w:color w:val="000000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20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F20C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llbChar">
    <w:name w:val="Élőláb Char"/>
    <w:link w:val="llb"/>
    <w:uiPriority w:val="99"/>
    <w:rsid w:val="00414D47"/>
    <w:rPr>
      <w:rFonts w:ascii="Thorndale" w:eastAsia="HG Mincho Light J" w:hAnsi="Thornda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5668</Characters>
  <Application>Microsoft Office Word</Application>
  <DocSecurity>0</DocSecurity>
  <Lines>71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FAX</vt:lpstr>
    </vt:vector>
  </TitlesOfParts>
  <Company>Ferling PR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ferling</dc:creator>
  <cp:keywords/>
  <cp:lastModifiedBy>Kis Tünde</cp:lastModifiedBy>
  <cp:revision>2</cp:revision>
  <cp:lastPrinted>2003-07-24T12:44:00Z</cp:lastPrinted>
  <dcterms:created xsi:type="dcterms:W3CDTF">2026-03-19T12:07:00Z</dcterms:created>
  <dcterms:modified xsi:type="dcterms:W3CDTF">2026-03-19T12:07:00Z</dcterms:modified>
</cp:coreProperties>
</file>