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34C88EB8" w14:textId="77777777" w:rsidR="00E501D0" w:rsidRPr="00E501D0" w:rsidRDefault="00E501D0" w:rsidP="00E501D0">
      <w:pPr>
        <w:widowControl/>
        <w:suppressAutoHyphens w:val="0"/>
        <w:spacing w:line="259" w:lineRule="auto"/>
        <w:jc w:val="center"/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</w:pPr>
      <w:r w:rsidRPr="00E501D0"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  <w:t>Oktatási és kutatási kooperációval folytatódik</w:t>
      </w:r>
    </w:p>
    <w:p w14:paraId="0D17F1AD" w14:textId="77777777" w:rsidR="00E501D0" w:rsidRPr="00E501D0" w:rsidRDefault="00E501D0" w:rsidP="00E501D0">
      <w:pPr>
        <w:widowControl/>
        <w:suppressAutoHyphens w:val="0"/>
        <w:spacing w:line="259" w:lineRule="auto"/>
        <w:jc w:val="center"/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</w:pPr>
      <w:r w:rsidRPr="00E501D0"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  <w:t xml:space="preserve"> a PTE MIK és a </w:t>
      </w:r>
      <w:proofErr w:type="spellStart"/>
      <w:r w:rsidRPr="00E501D0"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  <w:t>beihai</w:t>
      </w:r>
      <w:proofErr w:type="spellEnd"/>
      <w:r w:rsidRPr="00E501D0"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  <w:t xml:space="preserve"> művészeti egyetem 10 éves kapcsolata</w:t>
      </w:r>
    </w:p>
    <w:p w14:paraId="6A9F429A" w14:textId="77777777" w:rsidR="00E501D0" w:rsidRPr="00E501D0" w:rsidRDefault="00E501D0" w:rsidP="00E501D0">
      <w:pPr>
        <w:widowControl/>
        <w:suppressAutoHyphens w:val="0"/>
        <w:spacing w:line="259" w:lineRule="auto"/>
        <w:jc w:val="center"/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</w:pPr>
    </w:p>
    <w:p w14:paraId="7ACAF618" w14:textId="77777777" w:rsidR="00E501D0" w:rsidRPr="00E501D0" w:rsidRDefault="00E501D0" w:rsidP="00E501D0">
      <w:pPr>
        <w:widowControl/>
        <w:suppressAutoHyphens w:val="0"/>
        <w:spacing w:line="259" w:lineRule="auto"/>
        <w:jc w:val="center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574FE2FD" w14:textId="77777777" w:rsidR="00E501D0" w:rsidRPr="00E501D0" w:rsidRDefault="00E501D0" w:rsidP="00E501D0">
      <w:pPr>
        <w:widowControl/>
        <w:suppressAutoHyphens w:val="0"/>
        <w:spacing w:line="259" w:lineRule="auto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2EC3EFE2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</w:pPr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Rövidtávú oktatási programokkal – így az idei tavaszon megrendezendő nemzetközi építészeti kurzussal –, a közelmúltban beazonosított tematikájú kutatási kooperációval, kutatócserével folytatódik a Pécsi Tudományegyetem Műszaki és Informatikai Kar (PTE MIK) Építész Intézete és a kínai </w:t>
      </w:r>
      <w:proofErr w:type="spellStart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Beihai</w:t>
      </w:r>
      <w:proofErr w:type="spellEnd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University of Art and Design (BUAD) közötti mintegy 10 évre visszatekintő szakmai együttműködés. A két fél a közelmúltban állapodott meg a részletekről, amikor a BUAD küldöttsége Pécsett járt. Látogatásuk alkalmából vehette át </w:t>
      </w:r>
      <w:proofErr w:type="spellStart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Zheng</w:t>
      </w:r>
      <w:proofErr w:type="spellEnd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Nianyi</w:t>
      </w:r>
      <w:proofErr w:type="spellEnd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, a BUAD elnökhelyettese – aki a kezdetektől kíséri a két intézmény közötti kapcsolatot – a PTE </w:t>
      </w:r>
      <w:proofErr w:type="spellStart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Doctor</w:t>
      </w:r>
      <w:proofErr w:type="spellEnd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Honoris Causa címét.  A közös akciók mára stratégiai léptékűvé </w:t>
      </w:r>
      <w:proofErr w:type="spellStart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nőtték</w:t>
      </w:r>
      <w:proofErr w:type="spellEnd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ki magukat, a kínai egyetemről folyamatosan érkeznek hallgatók a pécsi képzésekre, sőt, ma már a PTE MIK Breuer Marcell Doktori Iskolájában doktorátust szerzett építészek is dolgoznak </w:t>
      </w:r>
      <w:proofErr w:type="spellStart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Beihaiban</w:t>
      </w:r>
      <w:proofErr w:type="spellEnd"/>
      <w:r w:rsidRPr="00E501D0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.</w:t>
      </w:r>
    </w:p>
    <w:p w14:paraId="2DD68120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1924822B" w14:textId="0B85D3E4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A két intézmény kapcsolata 2016-ra nyúlik vissza, amikor a frissen alakult </w:t>
      </w:r>
      <w:proofErr w:type="spellStart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</w:t>
      </w:r>
      <w:proofErr w:type="spellEnd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University of Art and Design alapítói nemzetközi kapcsolatfelvétel céljával megkeresték a PTE MIK Építész Szakmai Intézetét. A sikeres egyeztetések eredményeként létrejött egy „zöld folyosó”: ekvivalenciamegállapodások mentén több ponton is be tudnak kapcsolódni a kínai hallgatók a pécsi építész-, belsőépítész-képzésekbe. „Ennek az volt és ma is az a feltétele, hogy megbizonyosodjunk a jelentkezők felkészültségéről, éppen ezért egy többlépcsős folyamatban vesszük fel a </w:t>
      </w:r>
      <w:proofErr w:type="spellStart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Beihaiból</w:t>
      </w:r>
      <w:proofErr w:type="spellEnd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érkező jelentkezőket. Az együttműködés elindulásakor 14 hallgató mozgott ebben a zöld folyosóban, mindenki az általunk kiállított mesterdiplomával térhetett haza. A Covid 2</w:t>
      </w:r>
      <w:r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-</w:t>
      </w:r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3 évre megállította az együttműködési folyamatot, de 2023-ban újfajta módon kezdődött meg az </w:t>
      </w:r>
      <w:proofErr w:type="spellStart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újraépítkezés</w:t>
      </w:r>
      <w:proofErr w:type="spellEnd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. Esszenciális tartalommal rövid, kéthetes ún. rövidkurzusokat viszünk </w:t>
      </w:r>
      <w:proofErr w:type="spellStart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Beihaiba</w:t>
      </w:r>
      <w:proofErr w:type="spellEnd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, ezáltal mi is koncentráltan, a korábbinál nagyobb létszámú hallgatóval találkozhatunk. Ezeket a </w:t>
      </w:r>
      <w:proofErr w:type="spellStart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joint</w:t>
      </w:r>
      <w:proofErr w:type="spellEnd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képzéseket az intenzív jelleg, valamint az alkotó habitus jellemzi” – mondja dr. Medvegy Gabriella, a PTE MIK dékánja. A kínaiak számára izgalmas európai nézőpont és gondolkodás, illetve vizuális kultúra mellett az angol nyelv gyakorlása is nyereség a hallgatóknak, az oktatók pedig mindkét oldalról az intézményekben honos tanítási módszerek megismeréséből profitálhatnak. A korábban oktatott két szakmai tárgy mellett tavaly már megjelent egy műszaki szaknyelvi tantárgy is, az ehhez Pécsett létrehozott digitális tananyagok óriási sikert arattak. </w:t>
      </w:r>
    </w:p>
    <w:p w14:paraId="28A2616C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78802FBE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2023-tól egyre intenzívebbé vált a kapcsolat, évente több alkalommal érkeznek </w:t>
      </w:r>
      <w:proofErr w:type="spellStart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</w:t>
      </w:r>
      <w:proofErr w:type="spellEnd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oktatók a MIK-re oktatásmódszertani és szakmai eszmecserére, az együttműködés kereteinek, témáinak finomhangolására. Minden évben egy-egy téma köré épül a szakmai diskurzus, amely e nemzetközi kulturális sokszínűség értékeit és jelentőségét hangsúlyozza, valamint arra keresi a választ, hogy ez a felsőoktatásban, az építészetben, a dizájnban mit jelent – a cél, hogy a két intézmény képviselői minél jobban megértsék egymást. A szakmai munka színvonalát mi sem bizonyítja jobban, minthogy 2025-ben a BUAD díjat nyert Belgiumban az UNESCO által életre hívott, a globális világ örökségét és innovációit megjelenítő pályázaton. A két egyetem közötti együttműködés még ez év tavaszán új </w:t>
      </w:r>
      <w:proofErr w:type="spellStart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joint</w:t>
      </w:r>
      <w:proofErr w:type="spellEnd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programmal folytatódik, de az intézmények oktatási és kutatási kooperációra is készülnek – többek között az egyik kulcsterület a közös alkotóművészeti kontextus lesz. „Az építész szakma sajátja a mobilitás, a világlátás, a gyakorlatszerzés igénye. Úgyhogy azok a kollégák, akik a programjaink által Kínába eljutnak, nemcsak szakmailag, hanem az építész szakmát érintő szélesebb tartalmak – így a dizájn, a vizuális kommunikáció, a digitális grafikai ügyek – </w:t>
      </w:r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lastRenderedPageBreak/>
        <w:t xml:space="preserve">szempontjából gazdagabbak lesznek. Másrészt az interkulturális tapasztalat szintjén a szakma, a tolerancia, illetve a kommunikáció mélységei jelentősen építik az oktatókat. Többek között ezért indultunk el annak idején a nemzetköziség felé, hogy a </w:t>
      </w:r>
      <w:proofErr w:type="spellStart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beihaihoz</w:t>
      </w:r>
      <w:proofErr w:type="spellEnd"/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hasonló összetett élményeink legyenek, hogy képezzük magunkat és másoktól tanuljunk. A hozzánk érkező hallgatók szintén hoznak új nézőpontokat, gondolkodásmódot, a miénktől eltérő kultúrát, és ez is emeli a pécsi építészképzést” – teszi hozzá Medvegy Gabriella. </w:t>
      </w:r>
    </w:p>
    <w:p w14:paraId="68B47F1C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6F7D555F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</w:pPr>
      <w:r w:rsidRPr="00E501D0"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  <w:t>További információ a sajtó számára:</w:t>
      </w:r>
    </w:p>
    <w:p w14:paraId="3641158C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79E47565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Dr. Medvegy Gabriella dékán – PTE MIK</w:t>
      </w:r>
    </w:p>
    <w:p w14:paraId="4C78A637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Tel.: +36 30 606 11 95 </w:t>
      </w:r>
    </w:p>
    <w:p w14:paraId="4B8D7601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E501D0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E-mail: medvegy.gabriella@mik.pte.hu</w:t>
      </w:r>
    </w:p>
    <w:p w14:paraId="0CF4DF08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291CE124" w14:textId="77777777" w:rsidR="00E501D0" w:rsidRPr="00E501D0" w:rsidRDefault="00E501D0" w:rsidP="00E501D0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44449BEF" w14:textId="77777777" w:rsidR="007061E0" w:rsidRPr="00E501D0" w:rsidRDefault="007061E0" w:rsidP="00E501D0"/>
    <w:sectPr w:rsidR="007061E0" w:rsidRPr="00E501D0" w:rsidSect="00971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F892" w14:textId="77777777" w:rsidR="00DB6E1B" w:rsidRDefault="00DB6E1B">
      <w:r>
        <w:separator/>
      </w:r>
    </w:p>
  </w:endnote>
  <w:endnote w:type="continuationSeparator" w:id="0">
    <w:p w14:paraId="1BBCD887" w14:textId="77777777" w:rsidR="00DB6E1B" w:rsidRDefault="00DB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74C3" w14:textId="77777777" w:rsidR="0058767D" w:rsidRDefault="005876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489F" w14:textId="77777777" w:rsidR="00DB6E1B" w:rsidRDefault="00DB6E1B">
      <w:r>
        <w:separator/>
      </w:r>
    </w:p>
  </w:footnote>
  <w:footnote w:type="continuationSeparator" w:id="0">
    <w:p w14:paraId="7F1F1D3B" w14:textId="77777777" w:rsidR="00DB6E1B" w:rsidRDefault="00DB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3E3C" w14:textId="77777777" w:rsidR="0058767D" w:rsidRDefault="005876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04B7D5DB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428" cy="134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FF9C" w14:textId="77777777" w:rsidR="0058767D" w:rsidRDefault="005876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71779962">
    <w:abstractNumId w:val="0"/>
  </w:num>
  <w:num w:numId="2" w16cid:durableId="994185003">
    <w:abstractNumId w:val="2"/>
  </w:num>
  <w:num w:numId="3" w16cid:durableId="76508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6FCB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C33AF"/>
    <w:rsid w:val="001C69A3"/>
    <w:rsid w:val="001F36C0"/>
    <w:rsid w:val="002004BA"/>
    <w:rsid w:val="00203C0D"/>
    <w:rsid w:val="0022362D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30BF"/>
    <w:rsid w:val="002D42D9"/>
    <w:rsid w:val="002E3EA2"/>
    <w:rsid w:val="002E4D23"/>
    <w:rsid w:val="002E50FF"/>
    <w:rsid w:val="002E5665"/>
    <w:rsid w:val="0030099C"/>
    <w:rsid w:val="003059D0"/>
    <w:rsid w:val="00306592"/>
    <w:rsid w:val="0031138D"/>
    <w:rsid w:val="00323318"/>
    <w:rsid w:val="0032380C"/>
    <w:rsid w:val="003505AB"/>
    <w:rsid w:val="00363D83"/>
    <w:rsid w:val="003943B8"/>
    <w:rsid w:val="00394A87"/>
    <w:rsid w:val="00394C7A"/>
    <w:rsid w:val="003A2EA2"/>
    <w:rsid w:val="003B6D55"/>
    <w:rsid w:val="003C10DC"/>
    <w:rsid w:val="003D144C"/>
    <w:rsid w:val="003E2766"/>
    <w:rsid w:val="003E4760"/>
    <w:rsid w:val="003F30F9"/>
    <w:rsid w:val="00414D47"/>
    <w:rsid w:val="00420DA9"/>
    <w:rsid w:val="00422F7E"/>
    <w:rsid w:val="00425258"/>
    <w:rsid w:val="00434A38"/>
    <w:rsid w:val="0043770A"/>
    <w:rsid w:val="0045077C"/>
    <w:rsid w:val="0045077D"/>
    <w:rsid w:val="00466B4D"/>
    <w:rsid w:val="004851EB"/>
    <w:rsid w:val="004C4BC9"/>
    <w:rsid w:val="004D005E"/>
    <w:rsid w:val="004D277A"/>
    <w:rsid w:val="004E7D4D"/>
    <w:rsid w:val="004F6695"/>
    <w:rsid w:val="00506F26"/>
    <w:rsid w:val="0052318B"/>
    <w:rsid w:val="00523C9E"/>
    <w:rsid w:val="0053185D"/>
    <w:rsid w:val="0054779A"/>
    <w:rsid w:val="005642BE"/>
    <w:rsid w:val="00564A32"/>
    <w:rsid w:val="00565666"/>
    <w:rsid w:val="00585A0E"/>
    <w:rsid w:val="0058767D"/>
    <w:rsid w:val="00595B85"/>
    <w:rsid w:val="005B240A"/>
    <w:rsid w:val="005D4A3F"/>
    <w:rsid w:val="005E0970"/>
    <w:rsid w:val="0060064B"/>
    <w:rsid w:val="00605FF7"/>
    <w:rsid w:val="0061332E"/>
    <w:rsid w:val="00625297"/>
    <w:rsid w:val="006312E8"/>
    <w:rsid w:val="00641A1C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36380"/>
    <w:rsid w:val="00745D6F"/>
    <w:rsid w:val="0077255B"/>
    <w:rsid w:val="00774F31"/>
    <w:rsid w:val="007A47AD"/>
    <w:rsid w:val="007C424A"/>
    <w:rsid w:val="007C4EA3"/>
    <w:rsid w:val="007F20CB"/>
    <w:rsid w:val="007F45EF"/>
    <w:rsid w:val="00824AC8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E328F"/>
    <w:rsid w:val="008E381D"/>
    <w:rsid w:val="0093513E"/>
    <w:rsid w:val="00957692"/>
    <w:rsid w:val="00971839"/>
    <w:rsid w:val="00991B0E"/>
    <w:rsid w:val="00992F35"/>
    <w:rsid w:val="009C2B08"/>
    <w:rsid w:val="009D5B32"/>
    <w:rsid w:val="009E0CDC"/>
    <w:rsid w:val="009F6984"/>
    <w:rsid w:val="00A224A5"/>
    <w:rsid w:val="00A27A79"/>
    <w:rsid w:val="00A36E29"/>
    <w:rsid w:val="00A444F7"/>
    <w:rsid w:val="00AF607A"/>
    <w:rsid w:val="00B16162"/>
    <w:rsid w:val="00B22164"/>
    <w:rsid w:val="00B5375C"/>
    <w:rsid w:val="00B6364C"/>
    <w:rsid w:val="00BE03B1"/>
    <w:rsid w:val="00BF14B3"/>
    <w:rsid w:val="00C02334"/>
    <w:rsid w:val="00C03CAB"/>
    <w:rsid w:val="00C43224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72F79"/>
    <w:rsid w:val="00D7476D"/>
    <w:rsid w:val="00D80CC5"/>
    <w:rsid w:val="00DA158E"/>
    <w:rsid w:val="00DA7F43"/>
    <w:rsid w:val="00DB6E1B"/>
    <w:rsid w:val="00DF2FEF"/>
    <w:rsid w:val="00E465AE"/>
    <w:rsid w:val="00E46853"/>
    <w:rsid w:val="00E501D0"/>
    <w:rsid w:val="00E60077"/>
    <w:rsid w:val="00E6602B"/>
    <w:rsid w:val="00EC7D13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PTE_MIK</dc:creator>
  <cp:keywords/>
  <cp:lastModifiedBy>Kis Tünde</cp:lastModifiedBy>
  <cp:revision>2</cp:revision>
  <cp:lastPrinted>2003-07-24T12:44:00Z</cp:lastPrinted>
  <dcterms:created xsi:type="dcterms:W3CDTF">2026-04-09T08:41:00Z</dcterms:created>
  <dcterms:modified xsi:type="dcterms:W3CDTF">2026-04-09T08:41:00Z</dcterms:modified>
</cp:coreProperties>
</file>