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6BAE" w14:textId="77777777" w:rsidR="00926F51" w:rsidRPr="00A0124C" w:rsidRDefault="00926F51" w:rsidP="00926F51">
      <w:pPr>
        <w:jc w:val="left"/>
        <w:rPr>
          <w:b/>
          <w:bCs/>
          <w:sz w:val="20"/>
          <w:szCs w:val="20"/>
        </w:rPr>
      </w:pPr>
      <w:r w:rsidRPr="00A0124C">
        <w:rPr>
          <w:b/>
          <w:bCs/>
          <w:sz w:val="20"/>
          <w:szCs w:val="20"/>
        </w:rPr>
        <w:t>A legkomplikáltabb beavatkozások is elérhetők a Fogászati és Szájsebészeti Klinika új, térítéses betegellátási szolgáltatási palettáján</w:t>
      </w:r>
    </w:p>
    <w:p w14:paraId="6851DC88" w14:textId="77777777" w:rsidR="00926F51" w:rsidRPr="00A0124C" w:rsidRDefault="00926F51" w:rsidP="00926F51">
      <w:pPr>
        <w:jc w:val="left"/>
        <w:rPr>
          <w:b/>
          <w:bCs/>
          <w:sz w:val="20"/>
          <w:szCs w:val="20"/>
        </w:rPr>
      </w:pPr>
      <w:r w:rsidRPr="00A0124C">
        <w:rPr>
          <w:b/>
          <w:bCs/>
          <w:sz w:val="20"/>
          <w:szCs w:val="20"/>
        </w:rPr>
        <w:t>2025 januárjától az államilag finanszírozott forma mellett térítéses ellátási keretek között is fogadja a betegeket a PTE Klinikai Központ Fogászati és Szájsebészeti Klinikája, ahol a legbonyolultabb fogászati beavatkozások is elérhetőek. A keddenként 16-18 óra közötti teljes körű ellátást kifejezetten azokhoz hangolták, akik munkaidőben nem tudják igénybe venni a szolgáltatást.</w:t>
      </w:r>
    </w:p>
    <w:p w14:paraId="278643F2" w14:textId="5038CB28" w:rsidR="00926F51" w:rsidRPr="00A0124C" w:rsidRDefault="00926F51" w:rsidP="00926F51">
      <w:pPr>
        <w:jc w:val="left"/>
        <w:rPr>
          <w:sz w:val="20"/>
          <w:szCs w:val="20"/>
        </w:rPr>
      </w:pPr>
      <w:r w:rsidRPr="002E7A09">
        <w:rPr>
          <w:sz w:val="20"/>
          <w:szCs w:val="20"/>
        </w:rPr>
        <w:t>A</w:t>
      </w:r>
      <w:r w:rsidRPr="00A0124C">
        <w:rPr>
          <w:sz w:val="20"/>
          <w:szCs w:val="20"/>
        </w:rPr>
        <w:t xml:space="preserve"> pécsi orvoskarral szemben közel 2,7 milliárd forintból épült, 2022-ben átadott ötszintes, 2750 négyzetméter hasznos területű </w:t>
      </w:r>
      <w:hyperlink r:id="rId8" w:history="1">
        <w:r w:rsidRPr="00A0124C">
          <w:rPr>
            <w:rStyle w:val="Hiperhivatkozs"/>
            <w:b/>
            <w:bCs/>
            <w:sz w:val="20"/>
            <w:szCs w:val="20"/>
          </w:rPr>
          <w:t>klinikán</w:t>
        </w:r>
      </w:hyperlink>
      <w:r w:rsidRPr="00A0124C">
        <w:rPr>
          <w:sz w:val="20"/>
          <w:szCs w:val="20"/>
        </w:rPr>
        <w:t xml:space="preserve"> </w:t>
      </w:r>
      <w:r w:rsidRPr="00A0124C">
        <w:rPr>
          <w:b/>
          <w:bCs/>
          <w:sz w:val="20"/>
          <w:szCs w:val="20"/>
        </w:rPr>
        <w:t>éves szinten mintegy 46 ezer beteget</w:t>
      </w:r>
      <w:r w:rsidRPr="00A0124C">
        <w:rPr>
          <w:sz w:val="20"/>
          <w:szCs w:val="20"/>
        </w:rPr>
        <w:t xml:space="preserve"> gyógyítanak.</w:t>
      </w:r>
    </w:p>
    <w:p w14:paraId="64E95C06" w14:textId="77777777" w:rsidR="00926F51" w:rsidRPr="00A0124C" w:rsidRDefault="00926F51" w:rsidP="00926F51">
      <w:pPr>
        <w:jc w:val="left"/>
        <w:rPr>
          <w:sz w:val="20"/>
          <w:szCs w:val="20"/>
        </w:rPr>
      </w:pPr>
      <w:r w:rsidRPr="00A0124C">
        <w:rPr>
          <w:i/>
          <w:iCs/>
          <w:sz w:val="20"/>
          <w:szCs w:val="20"/>
        </w:rPr>
        <w:t>„Eddig négy körzet páciensei érkeztek a Tüzér utcai komplexumba a Nemzeti Egészségbiztosítási Alapkezelő (NEAK) által térített kezelésekre. Mellettük sokan nem államilag finanszírozott formában kértek ellátást, gyakran fogorvosuk irányította őket a klinikára, mivel itt tudtak csak bizonyos, költséges diagnosztikai berendezéseket kívánó vizsgálatokat, beavatkozásokat elvégezni”</w:t>
      </w:r>
      <w:r w:rsidRPr="00A0124C">
        <w:rPr>
          <w:sz w:val="20"/>
          <w:szCs w:val="20"/>
        </w:rPr>
        <w:t xml:space="preserve"> – mondta el </w:t>
      </w:r>
      <w:r w:rsidRPr="00A0124C">
        <w:rPr>
          <w:b/>
          <w:bCs/>
          <w:sz w:val="20"/>
          <w:szCs w:val="20"/>
        </w:rPr>
        <w:t>dr. Marada Gyula</w:t>
      </w:r>
      <w:r w:rsidRPr="00A0124C">
        <w:rPr>
          <w:sz w:val="20"/>
          <w:szCs w:val="20"/>
        </w:rPr>
        <w:t xml:space="preserve"> egyetemi adjunktus, intézetigazgató-helyettes, tanszékvezető, kiemelve, hogy </w:t>
      </w:r>
      <w:r w:rsidRPr="00A0124C">
        <w:rPr>
          <w:b/>
          <w:bCs/>
          <w:sz w:val="20"/>
          <w:szCs w:val="20"/>
        </w:rPr>
        <w:t>a 2025 január elejétől futó térítéses ellátás iránt számos igény mutatkozott.</w:t>
      </w:r>
      <w:r w:rsidRPr="00A0124C">
        <w:rPr>
          <w:sz w:val="20"/>
          <w:szCs w:val="20"/>
        </w:rPr>
        <w:t xml:space="preserve"> </w:t>
      </w:r>
    </w:p>
    <w:p w14:paraId="677C4C76" w14:textId="77777777" w:rsidR="00926F51" w:rsidRPr="00A0124C" w:rsidRDefault="00926F51" w:rsidP="00926F51">
      <w:pPr>
        <w:jc w:val="left"/>
        <w:rPr>
          <w:sz w:val="20"/>
          <w:szCs w:val="20"/>
        </w:rPr>
      </w:pPr>
      <w:r w:rsidRPr="00A0124C">
        <w:rPr>
          <w:i/>
          <w:iCs/>
          <w:sz w:val="20"/>
          <w:szCs w:val="20"/>
        </w:rPr>
        <w:t xml:space="preserve">„Sokaknak jelent problémát a klasszikus rendelési időben, azaz munkaidőben felkeresni minket, munkaidőn kívül viszont tudnak és akarnak is jönni. A másik tényező a </w:t>
      </w:r>
      <w:r w:rsidRPr="00A0124C">
        <w:rPr>
          <w:b/>
          <w:bCs/>
          <w:i/>
          <w:iCs/>
          <w:sz w:val="20"/>
          <w:szCs w:val="20"/>
        </w:rPr>
        <w:t>nálunk összpontosuló szaktudás</w:t>
      </w:r>
      <w:r w:rsidRPr="00A0124C">
        <w:rPr>
          <w:i/>
          <w:iCs/>
          <w:sz w:val="20"/>
          <w:szCs w:val="20"/>
        </w:rPr>
        <w:t xml:space="preserve"> </w:t>
      </w:r>
      <w:r w:rsidRPr="00A0124C">
        <w:rPr>
          <w:b/>
          <w:bCs/>
          <w:i/>
          <w:iCs/>
          <w:sz w:val="20"/>
          <w:szCs w:val="20"/>
        </w:rPr>
        <w:t>és eszközpark</w:t>
      </w:r>
      <w:r w:rsidRPr="00A0124C">
        <w:rPr>
          <w:i/>
          <w:iCs/>
          <w:sz w:val="20"/>
          <w:szCs w:val="20"/>
        </w:rPr>
        <w:t xml:space="preserve">, mely miatt </w:t>
      </w:r>
      <w:r w:rsidRPr="00A0124C">
        <w:rPr>
          <w:b/>
          <w:bCs/>
          <w:i/>
          <w:iCs/>
          <w:sz w:val="20"/>
          <w:szCs w:val="20"/>
        </w:rPr>
        <w:t>számos fogorvos küldi hozzánk a magánrendelésre érkező páciensét</w:t>
      </w:r>
      <w:r w:rsidRPr="00A0124C">
        <w:rPr>
          <w:i/>
          <w:iCs/>
          <w:sz w:val="20"/>
          <w:szCs w:val="20"/>
        </w:rPr>
        <w:t xml:space="preserve">, elvégeztetve olyan vizsgálatot vagy beavatkozást, amit az ő rendelőjében nem tud megtenni. Adta magát a kérdés: </w:t>
      </w:r>
      <w:r w:rsidRPr="00A0124C">
        <w:rPr>
          <w:b/>
          <w:bCs/>
          <w:i/>
          <w:iCs/>
          <w:sz w:val="20"/>
          <w:szCs w:val="20"/>
        </w:rPr>
        <w:t>ha a nálunk lévő eszközök, szaktudás és infrastruktúra miatt számos beteg köt ki a klinikán, miért ne nyújtsunk egy teljes körű, 360 fokos szolgáltatást?</w:t>
      </w:r>
      <w:r w:rsidRPr="00A0124C">
        <w:rPr>
          <w:i/>
          <w:iCs/>
          <w:sz w:val="20"/>
          <w:szCs w:val="20"/>
        </w:rPr>
        <w:t xml:space="preserve"> Megvizsgálva az erőforrásainkat, arra jutottunk, hogy ez kivitelezhető, ráadásul </w:t>
      </w:r>
      <w:r w:rsidRPr="00A0124C">
        <w:rPr>
          <w:b/>
          <w:bCs/>
          <w:i/>
          <w:iCs/>
          <w:sz w:val="20"/>
          <w:szCs w:val="20"/>
        </w:rPr>
        <w:t>pozitívan hat a szakdolgozóink és fiatal orvosaik megtartására is</w:t>
      </w:r>
      <w:r w:rsidRPr="00A0124C">
        <w:rPr>
          <w:i/>
          <w:iCs/>
          <w:sz w:val="20"/>
          <w:szCs w:val="20"/>
        </w:rPr>
        <w:t>”</w:t>
      </w:r>
      <w:r w:rsidRPr="00A0124C">
        <w:rPr>
          <w:sz w:val="20"/>
          <w:szCs w:val="20"/>
        </w:rPr>
        <w:t xml:space="preserve"> – fogalmazott az intézetigazgató-helyettes. </w:t>
      </w:r>
    </w:p>
    <w:p w14:paraId="268E357E" w14:textId="68D69570" w:rsidR="00926F51" w:rsidRPr="00A0124C" w:rsidRDefault="00926F51" w:rsidP="00926F51">
      <w:pPr>
        <w:jc w:val="left"/>
        <w:rPr>
          <w:color w:val="00B050"/>
          <w:sz w:val="20"/>
          <w:szCs w:val="20"/>
        </w:rPr>
      </w:pPr>
      <w:r w:rsidRPr="00A0124C">
        <w:rPr>
          <w:sz w:val="20"/>
          <w:szCs w:val="20"/>
        </w:rPr>
        <w:t xml:space="preserve">Mint mondta, a szolgáltatás során </w:t>
      </w:r>
      <w:r w:rsidRPr="00A0124C">
        <w:rPr>
          <w:b/>
          <w:bCs/>
          <w:sz w:val="20"/>
          <w:szCs w:val="20"/>
        </w:rPr>
        <w:t>a klinika térítéses árlistája</w:t>
      </w:r>
      <w:r w:rsidRPr="00A0124C">
        <w:rPr>
          <w:sz w:val="20"/>
          <w:szCs w:val="20"/>
        </w:rPr>
        <w:t xml:space="preserve"> érvényes, mely </w:t>
      </w:r>
      <w:hyperlink r:id="rId9" w:history="1">
        <w:r w:rsidRPr="00A0124C">
          <w:rPr>
            <w:rStyle w:val="Hiperhivatkozs"/>
            <w:b/>
            <w:bCs/>
            <w:sz w:val="20"/>
            <w:szCs w:val="20"/>
          </w:rPr>
          <w:t>a Klinikai Központ honlapján</w:t>
        </w:r>
      </w:hyperlink>
      <w:r w:rsidRPr="00A0124C">
        <w:rPr>
          <w:sz w:val="20"/>
          <w:szCs w:val="20"/>
        </w:rPr>
        <w:t xml:space="preserve"> érhető el. A palettán a város magánpraxisaihoz képest olcsóbb és drágább ellátások is megtalálhatók, a </w:t>
      </w:r>
      <w:r w:rsidRPr="00A0124C">
        <w:rPr>
          <w:b/>
          <w:bCs/>
          <w:sz w:val="20"/>
          <w:szCs w:val="20"/>
        </w:rPr>
        <w:t xml:space="preserve">gyökérkezelés </w:t>
      </w:r>
      <w:r w:rsidRPr="00A0124C">
        <w:rPr>
          <w:sz w:val="20"/>
          <w:szCs w:val="20"/>
        </w:rPr>
        <w:t xml:space="preserve">például kicsit költségesebb, mint máshol, az okból kifolyólag, hogy </w:t>
      </w:r>
      <w:r w:rsidRPr="00A0124C">
        <w:rPr>
          <w:b/>
          <w:bCs/>
          <w:sz w:val="20"/>
          <w:szCs w:val="20"/>
        </w:rPr>
        <w:t>Pécsett sehol nincs e téren olyan jártassággal bíró szakembergárda, mint a fogászati klinikán</w:t>
      </w:r>
      <w:r w:rsidRPr="00A0124C">
        <w:rPr>
          <w:sz w:val="20"/>
          <w:szCs w:val="20"/>
        </w:rPr>
        <w:t>. Azok, akik az ellátás teljes spektrumáért érkeznek, azaz mindent itt végeztetnek, kedvezményben részesülnek.</w:t>
      </w:r>
    </w:p>
    <w:p w14:paraId="442A6FAB" w14:textId="77777777" w:rsidR="00A0124C" w:rsidRDefault="00926F51" w:rsidP="00926F51">
      <w:pPr>
        <w:jc w:val="left"/>
        <w:rPr>
          <w:sz w:val="20"/>
          <w:szCs w:val="20"/>
        </w:rPr>
      </w:pPr>
      <w:r w:rsidRPr="00A0124C">
        <w:rPr>
          <w:sz w:val="20"/>
          <w:szCs w:val="20"/>
        </w:rPr>
        <w:t xml:space="preserve">A pécsi </w:t>
      </w:r>
      <w:r w:rsidRPr="00A0124C">
        <w:rPr>
          <w:b/>
          <w:bCs/>
          <w:sz w:val="20"/>
          <w:szCs w:val="20"/>
        </w:rPr>
        <w:t>Fogászati és Szájsebészeti Klinikán</w:t>
      </w:r>
      <w:r w:rsidRPr="00A0124C">
        <w:rPr>
          <w:sz w:val="20"/>
          <w:szCs w:val="20"/>
        </w:rPr>
        <w:t xml:space="preserve"> három szinten folyik az ellátás </w:t>
      </w:r>
      <w:r w:rsidRPr="00A0124C">
        <w:rPr>
          <w:b/>
          <w:bCs/>
          <w:sz w:val="20"/>
          <w:szCs w:val="20"/>
        </w:rPr>
        <w:t>alapellátás, szakellátás</w:t>
      </w:r>
      <w:r w:rsidRPr="00A0124C">
        <w:rPr>
          <w:sz w:val="20"/>
          <w:szCs w:val="20"/>
        </w:rPr>
        <w:t xml:space="preserve">, valamint </w:t>
      </w:r>
      <w:r w:rsidRPr="00A0124C">
        <w:rPr>
          <w:b/>
          <w:bCs/>
          <w:sz w:val="20"/>
          <w:szCs w:val="20"/>
        </w:rPr>
        <w:t>egyetemi szintű szakellátás</w:t>
      </w:r>
      <w:r w:rsidRPr="00A0124C">
        <w:rPr>
          <w:sz w:val="20"/>
          <w:szCs w:val="20"/>
        </w:rPr>
        <w:t xml:space="preserve"> formájában. Alapellátásnak számít például a </w:t>
      </w:r>
      <w:r w:rsidRPr="00A0124C">
        <w:rPr>
          <w:b/>
          <w:bCs/>
          <w:sz w:val="20"/>
          <w:szCs w:val="20"/>
        </w:rPr>
        <w:t>fogmegtartó kezelés, fogkőeltávolítás</w:t>
      </w:r>
      <w:r w:rsidRPr="00A0124C">
        <w:rPr>
          <w:sz w:val="20"/>
          <w:szCs w:val="20"/>
        </w:rPr>
        <w:t xml:space="preserve">, de a </w:t>
      </w:r>
      <w:r w:rsidRPr="00A0124C">
        <w:rPr>
          <w:b/>
          <w:bCs/>
          <w:sz w:val="20"/>
          <w:szCs w:val="20"/>
        </w:rPr>
        <w:t>18 év alatti</w:t>
      </w:r>
      <w:r w:rsidR="00A0124C" w:rsidRPr="00A0124C">
        <w:rPr>
          <w:b/>
          <w:bCs/>
          <w:sz w:val="20"/>
          <w:szCs w:val="20"/>
        </w:rPr>
        <w:t>ak</w:t>
      </w:r>
      <w:r w:rsidRPr="00A0124C">
        <w:rPr>
          <w:b/>
          <w:bCs/>
          <w:sz w:val="20"/>
          <w:szCs w:val="20"/>
        </w:rPr>
        <w:t xml:space="preserve"> fogszabályozás</w:t>
      </w:r>
      <w:r w:rsidR="00A0124C" w:rsidRPr="00A0124C">
        <w:rPr>
          <w:b/>
          <w:bCs/>
          <w:sz w:val="20"/>
          <w:szCs w:val="20"/>
        </w:rPr>
        <w:t>a</w:t>
      </w:r>
      <w:r w:rsidRPr="00A0124C">
        <w:rPr>
          <w:sz w:val="20"/>
          <w:szCs w:val="20"/>
        </w:rPr>
        <w:t xml:space="preserve"> is, melyet, ha az alapellátó nem tud elvégezni, szakellátóhoz továbbítja a pácienst. </w:t>
      </w:r>
    </w:p>
    <w:p w14:paraId="38A6E875" w14:textId="0B2FCF25" w:rsidR="00926F51" w:rsidRPr="00A0124C" w:rsidRDefault="00926F51" w:rsidP="00926F51">
      <w:pPr>
        <w:jc w:val="left"/>
        <w:rPr>
          <w:color w:val="7030A0"/>
          <w:sz w:val="20"/>
          <w:szCs w:val="20"/>
        </w:rPr>
      </w:pPr>
      <w:r w:rsidRPr="00A0124C">
        <w:rPr>
          <w:sz w:val="20"/>
          <w:szCs w:val="20"/>
        </w:rPr>
        <w:t xml:space="preserve">Emelt szintű, nem NEAK-finanszírozott ellátásként rögzített </w:t>
      </w:r>
      <w:r w:rsidRPr="00A0124C">
        <w:rPr>
          <w:b/>
          <w:bCs/>
          <w:sz w:val="20"/>
          <w:szCs w:val="20"/>
        </w:rPr>
        <w:t>fogpótlások, implantátumok behelyezése</w:t>
      </w:r>
      <w:r w:rsidRPr="00A0124C">
        <w:rPr>
          <w:sz w:val="20"/>
          <w:szCs w:val="20"/>
        </w:rPr>
        <w:t xml:space="preserve"> is zajlik a fogászati tömbben, 18 éves kor feletti, </w:t>
      </w:r>
      <w:r w:rsidRPr="00A0124C">
        <w:rPr>
          <w:b/>
          <w:bCs/>
          <w:sz w:val="20"/>
          <w:szCs w:val="20"/>
        </w:rPr>
        <w:t>költségtérítéses fogszabályozás</w:t>
      </w:r>
      <w:r w:rsidRPr="00A0124C">
        <w:rPr>
          <w:sz w:val="20"/>
          <w:szCs w:val="20"/>
        </w:rPr>
        <w:t>t is végeznek itt, emellett</w:t>
      </w:r>
      <w:r w:rsidRPr="00A0124C">
        <w:rPr>
          <w:b/>
          <w:bCs/>
          <w:sz w:val="20"/>
          <w:szCs w:val="20"/>
        </w:rPr>
        <w:t xml:space="preserve"> mikroszkópos gyökérkezelés, fogágykezelés, esztétikai fogászati beavatkozáso</w:t>
      </w:r>
      <w:r w:rsidR="00A0124C" w:rsidRPr="00A0124C">
        <w:rPr>
          <w:b/>
          <w:bCs/>
          <w:sz w:val="20"/>
          <w:szCs w:val="20"/>
        </w:rPr>
        <w:t>k</w:t>
      </w:r>
      <w:r w:rsidRPr="00A0124C">
        <w:rPr>
          <w:b/>
          <w:bCs/>
          <w:sz w:val="20"/>
          <w:szCs w:val="20"/>
        </w:rPr>
        <w:t>, regeneratív műtétek</w:t>
      </w:r>
      <w:r w:rsidRPr="00A0124C">
        <w:rPr>
          <w:sz w:val="20"/>
          <w:szCs w:val="20"/>
        </w:rPr>
        <w:t xml:space="preserve">, továbbá </w:t>
      </w:r>
      <w:r w:rsidRPr="00A0124C">
        <w:rPr>
          <w:b/>
          <w:bCs/>
          <w:sz w:val="20"/>
          <w:szCs w:val="20"/>
        </w:rPr>
        <w:t>digitális röntgen és fogászati CT felvétel</w:t>
      </w:r>
      <w:r w:rsidR="00A0124C" w:rsidRPr="00A0124C">
        <w:rPr>
          <w:b/>
          <w:bCs/>
          <w:sz w:val="20"/>
          <w:szCs w:val="20"/>
        </w:rPr>
        <w:t xml:space="preserve">ek </w:t>
      </w:r>
      <w:r w:rsidR="00A0124C" w:rsidRPr="00A0124C">
        <w:rPr>
          <w:sz w:val="20"/>
          <w:szCs w:val="20"/>
        </w:rPr>
        <w:t>készítése is zajlik a komplex</w:t>
      </w:r>
      <w:r w:rsidRPr="00A0124C">
        <w:rPr>
          <w:sz w:val="20"/>
          <w:szCs w:val="20"/>
        </w:rPr>
        <w:t>umban.</w:t>
      </w:r>
    </w:p>
    <w:p w14:paraId="7630A77E" w14:textId="77777777" w:rsidR="00926F51" w:rsidRPr="00A0124C" w:rsidRDefault="00926F51" w:rsidP="00926F51">
      <w:pPr>
        <w:jc w:val="left"/>
        <w:rPr>
          <w:sz w:val="20"/>
          <w:szCs w:val="20"/>
        </w:rPr>
      </w:pPr>
      <w:r w:rsidRPr="00A0124C">
        <w:rPr>
          <w:sz w:val="20"/>
          <w:szCs w:val="20"/>
        </w:rPr>
        <w:lastRenderedPageBreak/>
        <w:t xml:space="preserve">A térítéses ellátás a január 6-i héttől fut, ennek keretében jelenleg </w:t>
      </w:r>
      <w:r w:rsidRPr="00A0124C">
        <w:rPr>
          <w:b/>
          <w:bCs/>
          <w:sz w:val="20"/>
          <w:szCs w:val="20"/>
        </w:rPr>
        <w:t>keddenként 16-18 óra között fogadja a klinika a betegeket</w:t>
      </w:r>
      <w:r w:rsidRPr="00A0124C">
        <w:rPr>
          <w:sz w:val="20"/>
          <w:szCs w:val="20"/>
        </w:rPr>
        <w:t>. Időpontot a recepció telefonszámán lehet egyelőre foglalni (</w:t>
      </w:r>
      <w:r w:rsidRPr="00A0124C">
        <w:rPr>
          <w:b/>
          <w:bCs/>
          <w:sz w:val="20"/>
          <w:szCs w:val="20"/>
        </w:rPr>
        <w:t>+3672-502-421</w:t>
      </w:r>
      <w:r w:rsidRPr="00A0124C">
        <w:rPr>
          <w:sz w:val="20"/>
          <w:szCs w:val="20"/>
        </w:rPr>
        <w:t xml:space="preserve">), a későbbiekben viszont, ha igény mutatkozik rá, külön felületet alakítanak ki erre. </w:t>
      </w:r>
    </w:p>
    <w:p w14:paraId="4894EBAF" w14:textId="77777777" w:rsidR="00477CB1" w:rsidRDefault="00477CB1" w:rsidP="00926F51">
      <w:pPr>
        <w:jc w:val="left"/>
        <w:rPr>
          <w:sz w:val="20"/>
          <w:szCs w:val="20"/>
        </w:rPr>
      </w:pPr>
    </w:p>
    <w:p w14:paraId="4396888E" w14:textId="55C38367" w:rsidR="00926F51" w:rsidRPr="00A0124C" w:rsidRDefault="00926F51" w:rsidP="00477CB1">
      <w:pPr>
        <w:spacing w:after="0" w:line="240" w:lineRule="auto"/>
        <w:jc w:val="left"/>
        <w:rPr>
          <w:sz w:val="20"/>
          <w:szCs w:val="20"/>
        </w:rPr>
      </w:pPr>
      <w:r w:rsidRPr="00A0124C">
        <w:rPr>
          <w:sz w:val="20"/>
          <w:szCs w:val="20"/>
        </w:rPr>
        <w:t>Sajtókapcsolat:</w:t>
      </w:r>
    </w:p>
    <w:p w14:paraId="6DB8D085" w14:textId="08691272" w:rsidR="00926F51" w:rsidRDefault="00477CB1" w:rsidP="00477CB1">
      <w:pPr>
        <w:spacing w:after="0" w:line="240" w:lineRule="auto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Sasvári Bernadett</w:t>
      </w:r>
    </w:p>
    <w:p w14:paraId="7A51B3D1" w14:textId="40BCFB0F" w:rsidR="00477CB1" w:rsidRDefault="00000000" w:rsidP="00477CB1">
      <w:pPr>
        <w:spacing w:after="0" w:line="240" w:lineRule="auto"/>
        <w:jc w:val="left"/>
        <w:rPr>
          <w:i/>
          <w:iCs/>
          <w:sz w:val="20"/>
          <w:szCs w:val="20"/>
        </w:rPr>
      </w:pPr>
      <w:hyperlink r:id="rId10" w:history="1">
        <w:r w:rsidR="00477CB1" w:rsidRPr="00FD2A80">
          <w:rPr>
            <w:rStyle w:val="Hiperhivatkozs"/>
            <w:i/>
            <w:iCs/>
            <w:sz w:val="20"/>
            <w:szCs w:val="20"/>
          </w:rPr>
          <w:t>sasvari.bernadett@pte.hu</w:t>
        </w:r>
      </w:hyperlink>
    </w:p>
    <w:p w14:paraId="43DAB27C" w14:textId="041932EE" w:rsidR="00477CB1" w:rsidRPr="00A0124C" w:rsidRDefault="00477CB1" w:rsidP="00477CB1">
      <w:pPr>
        <w:spacing w:after="0" w:line="240" w:lineRule="auto"/>
        <w:jc w:val="left"/>
        <w:rPr>
          <w:sz w:val="20"/>
          <w:szCs w:val="20"/>
        </w:rPr>
      </w:pPr>
      <w:r>
        <w:rPr>
          <w:i/>
          <w:iCs/>
          <w:sz w:val="20"/>
          <w:szCs w:val="20"/>
        </w:rPr>
        <w:t>+36302288260</w:t>
      </w:r>
    </w:p>
    <w:p w14:paraId="24E93C19" w14:textId="3CD9CB35" w:rsidR="003B4860" w:rsidRPr="00A0124C" w:rsidRDefault="003B4860" w:rsidP="00926F51">
      <w:pPr>
        <w:tabs>
          <w:tab w:val="left" w:pos="1265"/>
        </w:tabs>
        <w:jc w:val="left"/>
        <w:rPr>
          <w:rFonts w:cs="Poppins Light"/>
          <w:sz w:val="20"/>
          <w:szCs w:val="20"/>
        </w:rPr>
      </w:pPr>
    </w:p>
    <w:sectPr w:rsidR="003B4860" w:rsidRPr="00A0124C" w:rsidSect="00010D0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C410" w14:textId="77777777" w:rsidR="00370DD4" w:rsidRDefault="00370DD4" w:rsidP="00A2314E">
      <w:pPr>
        <w:spacing w:after="0" w:line="240" w:lineRule="auto"/>
      </w:pPr>
      <w:r>
        <w:separator/>
      </w:r>
    </w:p>
  </w:endnote>
  <w:endnote w:type="continuationSeparator" w:id="0">
    <w:p w14:paraId="34BBDE91" w14:textId="77777777" w:rsidR="00370DD4" w:rsidRDefault="00370DD4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C92D91" w14:paraId="412B7F6E" w14:textId="77777777" w:rsidTr="00757736">
      <w:trPr>
        <w:trHeight w:val="397"/>
      </w:trPr>
      <w:tc>
        <w:tcPr>
          <w:tcW w:w="1106" w:type="dxa"/>
          <w:vMerge w:val="restart"/>
          <w:vAlign w:val="center"/>
        </w:tcPr>
        <w:p w14:paraId="688DE550" w14:textId="77777777" w:rsidR="00C92D91" w:rsidRPr="005D4F3C" w:rsidRDefault="00C92D91" w:rsidP="00C92D91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2E193E25" wp14:editId="1971EFC7">
                <wp:extent cx="466725" cy="504825"/>
                <wp:effectExtent l="0" t="0" r="952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6A31A69" w14:textId="77777777" w:rsidR="00C92D91" w:rsidRPr="005D4F3C" w:rsidRDefault="00C92D91" w:rsidP="00C92D91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A38FAA5" w14:textId="77777777" w:rsidR="00C92D91" w:rsidRPr="005D4F3C" w:rsidRDefault="00C92D91" w:rsidP="00C92D91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56F4773D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7B8F3D31" w14:textId="77777777" w:rsidR="00C92D91" w:rsidRDefault="00C92D91" w:rsidP="00C92D91">
          <w:pPr>
            <w:pStyle w:val="llb"/>
            <w:jc w:val="left"/>
          </w:pPr>
        </w:p>
      </w:tc>
    </w:tr>
    <w:tr w:rsidR="00C92D91" w14:paraId="16B1626A" w14:textId="77777777" w:rsidTr="00757736">
      <w:trPr>
        <w:trHeight w:val="397"/>
      </w:trPr>
      <w:tc>
        <w:tcPr>
          <w:tcW w:w="1106" w:type="dxa"/>
          <w:vMerge/>
        </w:tcPr>
        <w:p w14:paraId="3CC477E7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5838A3B2" w14:textId="77777777" w:rsidR="00C92D91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0FECC825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09C6FD2D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31EB50A2" w14:textId="5183FB32" w:rsidR="00C92D91" w:rsidRPr="005D4F3C" w:rsidRDefault="002C0EC3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C92D91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2B8133EA" w14:textId="77777777" w:rsidR="00C92D91" w:rsidRDefault="00C92D91" w:rsidP="00C92D91">
          <w:pPr>
            <w:pStyle w:val="llb"/>
          </w:pPr>
        </w:p>
      </w:tc>
    </w:tr>
  </w:tbl>
  <w:p w14:paraId="1566B326" w14:textId="77F3E9E2" w:rsidR="00C92D91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03E8191" wp14:editId="62C3DD6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2F59F3" w14:paraId="321B54FF" w14:textId="77777777" w:rsidTr="005D4F3C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2F59F3" w:rsidRPr="005D4F3C" w:rsidRDefault="002F59F3" w:rsidP="002F59F3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CF7DD51" w14:textId="7C1173AD" w:rsidR="002F59F3" w:rsidRPr="005D4F3C" w:rsidRDefault="000010AA" w:rsidP="005D4F3C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BF25BB1" w14:textId="77777777" w:rsidR="005D4F3C" w:rsidRPr="005D4F3C" w:rsidRDefault="005D4F3C" w:rsidP="005D4F3C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7BB48B62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2F59F3" w:rsidRDefault="002F59F3" w:rsidP="002F59F3">
          <w:pPr>
            <w:pStyle w:val="llb"/>
            <w:jc w:val="left"/>
          </w:pPr>
        </w:p>
      </w:tc>
    </w:tr>
    <w:tr w:rsidR="002F59F3" w14:paraId="7681C567" w14:textId="77777777" w:rsidTr="005D4F3C">
      <w:trPr>
        <w:trHeight w:val="397"/>
      </w:trPr>
      <w:tc>
        <w:tcPr>
          <w:tcW w:w="1106" w:type="dxa"/>
          <w:vMerge/>
        </w:tcPr>
        <w:p w14:paraId="5D98839E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2CB7B532" w14:textId="77777777" w:rsidR="000010AA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5622144" w14:textId="1ECCAA8D" w:rsidR="005D4F3C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4D3D3368" w:rsidR="002F59F3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56855246" w14:textId="73CC414C" w:rsidR="005D4F3C" w:rsidRPr="005D4F3C" w:rsidRDefault="002C0EC3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53B23400" w14:textId="77777777" w:rsidR="002F59F3" w:rsidRDefault="002F59F3">
          <w:pPr>
            <w:pStyle w:val="llb"/>
          </w:pPr>
        </w:p>
      </w:tc>
    </w:tr>
  </w:tbl>
  <w:p w14:paraId="6B7F05B7" w14:textId="0E4CAE79" w:rsidR="00780B10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85AB" w14:textId="77777777" w:rsidR="00370DD4" w:rsidRDefault="00370DD4" w:rsidP="00A2314E">
      <w:pPr>
        <w:spacing w:after="0" w:line="240" w:lineRule="auto"/>
      </w:pPr>
      <w:r>
        <w:separator/>
      </w:r>
    </w:p>
  </w:footnote>
  <w:footnote w:type="continuationSeparator" w:id="0">
    <w:p w14:paraId="3A254D0C" w14:textId="77777777" w:rsidR="00370DD4" w:rsidRDefault="00370DD4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" w15:restartNumberingAfterBreak="0">
    <w:nsid w:val="030B719A"/>
    <w:multiLevelType w:val="hybridMultilevel"/>
    <w:tmpl w:val="F238011A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7A50"/>
    <w:multiLevelType w:val="hybridMultilevel"/>
    <w:tmpl w:val="44B680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11741F"/>
    <w:multiLevelType w:val="hybridMultilevel"/>
    <w:tmpl w:val="1780F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26FD"/>
    <w:multiLevelType w:val="hybridMultilevel"/>
    <w:tmpl w:val="BEA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67838"/>
    <w:multiLevelType w:val="hybridMultilevel"/>
    <w:tmpl w:val="F822D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34C4F"/>
    <w:multiLevelType w:val="hybridMultilevel"/>
    <w:tmpl w:val="4C6A0EBE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3109C"/>
    <w:multiLevelType w:val="hybridMultilevel"/>
    <w:tmpl w:val="A560C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103D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9D08CA"/>
    <w:multiLevelType w:val="hybridMultilevel"/>
    <w:tmpl w:val="47DEA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65E18"/>
    <w:multiLevelType w:val="hybridMultilevel"/>
    <w:tmpl w:val="26A4AA02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6559">
    <w:abstractNumId w:val="15"/>
  </w:num>
  <w:num w:numId="2" w16cid:durableId="1279994086">
    <w:abstractNumId w:val="6"/>
  </w:num>
  <w:num w:numId="3" w16cid:durableId="1908806426">
    <w:abstractNumId w:val="13"/>
  </w:num>
  <w:num w:numId="4" w16cid:durableId="36779463">
    <w:abstractNumId w:val="0"/>
  </w:num>
  <w:num w:numId="5" w16cid:durableId="1567495443">
    <w:abstractNumId w:val="20"/>
  </w:num>
  <w:num w:numId="6" w16cid:durableId="347946851">
    <w:abstractNumId w:val="9"/>
  </w:num>
  <w:num w:numId="7" w16cid:durableId="959532271">
    <w:abstractNumId w:val="2"/>
  </w:num>
  <w:num w:numId="8" w16cid:durableId="1682312754">
    <w:abstractNumId w:val="10"/>
  </w:num>
  <w:num w:numId="9" w16cid:durableId="1605115584">
    <w:abstractNumId w:val="4"/>
  </w:num>
  <w:num w:numId="10" w16cid:durableId="1737775963">
    <w:abstractNumId w:val="17"/>
  </w:num>
  <w:num w:numId="11" w16cid:durableId="956058254">
    <w:abstractNumId w:val="18"/>
  </w:num>
  <w:num w:numId="12" w16cid:durableId="2044819566">
    <w:abstractNumId w:val="14"/>
  </w:num>
  <w:num w:numId="13" w16cid:durableId="1689745871">
    <w:abstractNumId w:val="7"/>
  </w:num>
  <w:num w:numId="14" w16cid:durableId="1197737575">
    <w:abstractNumId w:val="12"/>
  </w:num>
  <w:num w:numId="15" w16cid:durableId="1941447479">
    <w:abstractNumId w:val="1"/>
  </w:num>
  <w:num w:numId="16" w16cid:durableId="1730032190">
    <w:abstractNumId w:val="19"/>
  </w:num>
  <w:num w:numId="17" w16cid:durableId="774596383">
    <w:abstractNumId w:val="11"/>
  </w:num>
  <w:num w:numId="18" w16cid:durableId="2012100317">
    <w:abstractNumId w:val="5"/>
  </w:num>
  <w:num w:numId="19" w16cid:durableId="1899433576">
    <w:abstractNumId w:val="3"/>
  </w:num>
  <w:num w:numId="20" w16cid:durableId="1600215687">
    <w:abstractNumId w:val="16"/>
  </w:num>
  <w:num w:numId="21" w16cid:durableId="1016346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17CAE"/>
    <w:rsid w:val="00021C3F"/>
    <w:rsid w:val="000244DF"/>
    <w:rsid w:val="00026CD2"/>
    <w:rsid w:val="000C5C88"/>
    <w:rsid w:val="000D38CB"/>
    <w:rsid w:val="000E132E"/>
    <w:rsid w:val="000E3C46"/>
    <w:rsid w:val="001017CC"/>
    <w:rsid w:val="001142AB"/>
    <w:rsid w:val="00126B77"/>
    <w:rsid w:val="00156ABF"/>
    <w:rsid w:val="00177CE7"/>
    <w:rsid w:val="001A1303"/>
    <w:rsid w:val="001B4B7E"/>
    <w:rsid w:val="00213B83"/>
    <w:rsid w:val="002C0EC3"/>
    <w:rsid w:val="002E768A"/>
    <w:rsid w:val="002E7A09"/>
    <w:rsid w:val="002F1A74"/>
    <w:rsid w:val="002F59F3"/>
    <w:rsid w:val="00305B3A"/>
    <w:rsid w:val="00316594"/>
    <w:rsid w:val="00370DD4"/>
    <w:rsid w:val="003764A0"/>
    <w:rsid w:val="003A39B1"/>
    <w:rsid w:val="003B4860"/>
    <w:rsid w:val="003C16E2"/>
    <w:rsid w:val="003E57E2"/>
    <w:rsid w:val="004027E2"/>
    <w:rsid w:val="00403731"/>
    <w:rsid w:val="00415417"/>
    <w:rsid w:val="00420B5A"/>
    <w:rsid w:val="00426DE9"/>
    <w:rsid w:val="00477CB1"/>
    <w:rsid w:val="00537D65"/>
    <w:rsid w:val="00582C94"/>
    <w:rsid w:val="00591C71"/>
    <w:rsid w:val="005D27F5"/>
    <w:rsid w:val="005D4F3C"/>
    <w:rsid w:val="005F2C1F"/>
    <w:rsid w:val="005F3F90"/>
    <w:rsid w:val="006B0529"/>
    <w:rsid w:val="006C2514"/>
    <w:rsid w:val="0070644A"/>
    <w:rsid w:val="007103C4"/>
    <w:rsid w:val="00756B0F"/>
    <w:rsid w:val="007737DF"/>
    <w:rsid w:val="00775356"/>
    <w:rsid w:val="00780B10"/>
    <w:rsid w:val="007819E5"/>
    <w:rsid w:val="0078360B"/>
    <w:rsid w:val="007973D5"/>
    <w:rsid w:val="007A025E"/>
    <w:rsid w:val="007C0F9C"/>
    <w:rsid w:val="007D641B"/>
    <w:rsid w:val="0082295A"/>
    <w:rsid w:val="008265B6"/>
    <w:rsid w:val="00851507"/>
    <w:rsid w:val="00884ED3"/>
    <w:rsid w:val="00885F69"/>
    <w:rsid w:val="008A0D2F"/>
    <w:rsid w:val="008A2992"/>
    <w:rsid w:val="008A3DC0"/>
    <w:rsid w:val="008B28B6"/>
    <w:rsid w:val="00926924"/>
    <w:rsid w:val="00926F51"/>
    <w:rsid w:val="00944007"/>
    <w:rsid w:val="0094590F"/>
    <w:rsid w:val="0095348C"/>
    <w:rsid w:val="00973FC9"/>
    <w:rsid w:val="009A4206"/>
    <w:rsid w:val="009A5B70"/>
    <w:rsid w:val="009D4CD3"/>
    <w:rsid w:val="009E33C7"/>
    <w:rsid w:val="00A0124C"/>
    <w:rsid w:val="00A2314E"/>
    <w:rsid w:val="00A37B13"/>
    <w:rsid w:val="00A435C3"/>
    <w:rsid w:val="00A852B9"/>
    <w:rsid w:val="00A97506"/>
    <w:rsid w:val="00AF4BBC"/>
    <w:rsid w:val="00B01EDC"/>
    <w:rsid w:val="00B1548B"/>
    <w:rsid w:val="00B25ACD"/>
    <w:rsid w:val="00B269BB"/>
    <w:rsid w:val="00B27113"/>
    <w:rsid w:val="00B27E03"/>
    <w:rsid w:val="00B373D1"/>
    <w:rsid w:val="00B551B7"/>
    <w:rsid w:val="00B678EC"/>
    <w:rsid w:val="00B72027"/>
    <w:rsid w:val="00BD1845"/>
    <w:rsid w:val="00BF500F"/>
    <w:rsid w:val="00C13E78"/>
    <w:rsid w:val="00C2461D"/>
    <w:rsid w:val="00C76E86"/>
    <w:rsid w:val="00C82E51"/>
    <w:rsid w:val="00C92D91"/>
    <w:rsid w:val="00CB798D"/>
    <w:rsid w:val="00CD62CE"/>
    <w:rsid w:val="00D02D1D"/>
    <w:rsid w:val="00D23F32"/>
    <w:rsid w:val="00D47262"/>
    <w:rsid w:val="00D51344"/>
    <w:rsid w:val="00D76350"/>
    <w:rsid w:val="00D85D80"/>
    <w:rsid w:val="00DA7168"/>
    <w:rsid w:val="00DC1ACC"/>
    <w:rsid w:val="00DF370B"/>
    <w:rsid w:val="00DF7D6A"/>
    <w:rsid w:val="00E16B0D"/>
    <w:rsid w:val="00E2176F"/>
    <w:rsid w:val="00E85352"/>
    <w:rsid w:val="00EC19FF"/>
    <w:rsid w:val="00EE683B"/>
    <w:rsid w:val="00F04D1E"/>
    <w:rsid w:val="00FB5A63"/>
    <w:rsid w:val="00FD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k.pte.hu/hu/egyseg/33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svari.bernadett@pt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inisztracio.pte.hu/sites/adminisztracio.pte.hu/files/files/Adminisztracio/Szabalyzatok_utasitasok/Hat_Es_Egyeb_Sz/euteritesiszabalyzat20240125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Kottász Gergely</cp:lastModifiedBy>
  <cp:revision>5</cp:revision>
  <cp:lastPrinted>2021-06-10T12:02:00Z</cp:lastPrinted>
  <dcterms:created xsi:type="dcterms:W3CDTF">2025-01-22T10:31:00Z</dcterms:created>
  <dcterms:modified xsi:type="dcterms:W3CDTF">2025-02-06T07:06:00Z</dcterms:modified>
</cp:coreProperties>
</file>