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784B" w14:textId="7300913F" w:rsidR="00A57AF1" w:rsidRPr="00C95A83" w:rsidRDefault="00A57AF1" w:rsidP="00B04C8E">
      <w:pPr>
        <w:jc w:val="center"/>
        <w:rPr>
          <w:b/>
          <w:bCs/>
        </w:rPr>
      </w:pPr>
      <w:r w:rsidRPr="00C95A83">
        <w:rPr>
          <w:b/>
          <w:bCs/>
        </w:rPr>
        <w:t>Parkinson-kór világnap: javuló terápiás lehetőségek, súlyos társadalmi hiányosságok</w:t>
      </w:r>
    </w:p>
    <w:p w14:paraId="3608E042" w14:textId="6B99D068" w:rsidR="00A57AF1" w:rsidRPr="00C95A83" w:rsidRDefault="00A57AF1" w:rsidP="00A57AF1">
      <w:pPr>
        <w:jc w:val="left"/>
      </w:pPr>
      <w:r w:rsidRPr="00C95A83">
        <w:rPr>
          <w:b/>
          <w:bCs/>
        </w:rPr>
        <w:t>Csak Magyarországon több tízezerre tehető a Parkinson-kórral diagnosztizáltak száma, világszerte pedig tízmilliókra. Az egyre fiatalabb korosztályokat érintő krónikus idegrendszeri betegség nem gyógyítható jelenlegi tudásunkkal, ám egyre több hatékony tüneti kezelés áll rendelkezésre. A Parkinson-kór április 11-ei világnapja alkalmából dr. Kovács Norberttel, a Pécsi Tudományegyetem (PTE) professzorával, egyben a Magyar Tudományos Parkinson Társaság elnökével beszélgettünk.</w:t>
      </w:r>
    </w:p>
    <w:p w14:paraId="6A118C69" w14:textId="2A68621B" w:rsidR="00A57AF1" w:rsidRPr="00C95A83" w:rsidRDefault="00A57AF1" w:rsidP="00A57AF1">
      <w:pPr>
        <w:jc w:val="left"/>
      </w:pPr>
      <w:r w:rsidRPr="00C95A83">
        <w:t xml:space="preserve">A legfrissebb adatok szerint </w:t>
      </w:r>
      <w:r w:rsidRPr="00C95A83">
        <w:rPr>
          <w:b/>
          <w:bCs/>
        </w:rPr>
        <w:t>mintegy harmincezer ember szenved Magyarországon</w:t>
      </w:r>
      <w:r w:rsidRPr="00C95A83">
        <w:t xml:space="preserve"> a súlyosbodó mozgászavarokkal, hangulatváltozásokkal járó </w:t>
      </w:r>
      <w:r w:rsidRPr="00C95A83">
        <w:rPr>
          <w:b/>
          <w:bCs/>
        </w:rPr>
        <w:t>Parkinson-kórban</w:t>
      </w:r>
      <w:r w:rsidRPr="00C95A83">
        <w:t xml:space="preserve">, és csak becsülhető azok száma, akiknél már elindult a betegséghez vezető idegsejtpusztulási folyamat, ám még nem alakultak ki a jellegzetes tünetek. </w:t>
      </w:r>
      <w:r w:rsidRPr="00C95A83">
        <w:rPr>
          <w:b/>
          <w:bCs/>
        </w:rPr>
        <w:t>A betegek száma pedig világszerte gyorsan növekedik</w:t>
      </w:r>
      <w:r w:rsidRPr="00C95A83">
        <w:t>, és a korábban elsősorban az idős korosztályok betegségének elkönyvelt Parkinson-kór</w:t>
      </w:r>
      <w:r w:rsidRPr="00C95A83">
        <w:rPr>
          <w:b/>
          <w:bCs/>
        </w:rPr>
        <w:t xml:space="preserve"> az aktív korú népesség, azaz a negyvenes-ötvenes éveikben járók között is egyre jobban terjed</w:t>
      </w:r>
      <w:r w:rsidRPr="00C95A83">
        <w:t xml:space="preserve">. Az aggasztó hírek mellett szerencsére pozitív fejlemények is akadnak: </w:t>
      </w:r>
      <w:r w:rsidRPr="00C95A83">
        <w:rPr>
          <w:b/>
          <w:bCs/>
        </w:rPr>
        <w:t>folyamatosan bővül a magyar betegek számára is elérhető tüneti kezelések köre, mondja dr. Kovács Norbert, a PTE Neurológiai Klinikájának igazgatóhelyettese</w:t>
      </w:r>
      <w:r w:rsidRPr="00C95A83">
        <w:t xml:space="preserve">, aki a </w:t>
      </w:r>
      <w:r w:rsidRPr="00C95A83">
        <w:rPr>
          <w:b/>
          <w:bCs/>
        </w:rPr>
        <w:t>Transzlációs Idegtudományi Nemzeti Laboratórium (TINL) Parkinson-kór kutatócsoportjának vezetője</w:t>
      </w:r>
      <w:r w:rsidRPr="00C95A83">
        <w:t>ként a legújabb terápiák hatékonyságának növelésén és a betegség jobb megértésén dolgozik.</w:t>
      </w:r>
    </w:p>
    <w:p w14:paraId="653706CD" w14:textId="68238830" w:rsidR="00A57AF1" w:rsidRPr="00C95A83" w:rsidRDefault="00A57AF1" w:rsidP="00A57AF1">
      <w:pPr>
        <w:jc w:val="left"/>
      </w:pPr>
      <w:r w:rsidRPr="00C95A83">
        <w:rPr>
          <w:i/>
          <w:iCs/>
        </w:rPr>
        <w:t xml:space="preserve">„A Parkinson-kór kezelése alapvetően két csoportba osztható a betegség súlyosságától függően. Az első fázisban </w:t>
      </w:r>
      <w:r w:rsidRPr="00C95A83">
        <w:rPr>
          <w:b/>
          <w:bCs/>
          <w:i/>
          <w:iCs/>
        </w:rPr>
        <w:t>gyógyszeres kezelés</w:t>
      </w:r>
      <w:r w:rsidRPr="00C95A83">
        <w:rPr>
          <w:i/>
          <w:iCs/>
        </w:rPr>
        <w:t xml:space="preserve"> történik, majd, amikor a tünetek súlyosbodása ezt szükségessé teszi, a </w:t>
      </w:r>
      <w:r w:rsidRPr="00C95A83">
        <w:rPr>
          <w:b/>
          <w:bCs/>
          <w:i/>
          <w:iCs/>
        </w:rPr>
        <w:t>műtéti megoldás</w:t>
      </w:r>
      <w:r w:rsidRPr="00C95A83">
        <w:rPr>
          <w:i/>
          <w:iCs/>
        </w:rPr>
        <w:t xml:space="preserve">, azaz a </w:t>
      </w:r>
      <w:r w:rsidRPr="00C95A83">
        <w:rPr>
          <w:b/>
          <w:bCs/>
          <w:i/>
          <w:iCs/>
        </w:rPr>
        <w:t>mélyagyi stimuláció</w:t>
      </w:r>
      <w:r w:rsidRPr="00C95A83">
        <w:rPr>
          <w:i/>
          <w:iCs/>
        </w:rPr>
        <w:t xml:space="preserve"> következik, amely során elektródák és az ezeket vezérlő pacemaker kerülnek beültetésre. Bár ezek évtizedek óta alkalmazott módszerek, az elmúlt időszakban </w:t>
      </w:r>
      <w:r w:rsidRPr="00C95A83">
        <w:rPr>
          <w:b/>
          <w:bCs/>
          <w:i/>
          <w:iCs/>
        </w:rPr>
        <w:t>jelentős fejlesztések történtek mindkét területen</w:t>
      </w:r>
      <w:r w:rsidRPr="00C95A83">
        <w:rPr>
          <w:i/>
          <w:iCs/>
        </w:rPr>
        <w:t xml:space="preserve">. Ilyen például </w:t>
      </w:r>
      <w:r w:rsidRPr="00C95A83">
        <w:rPr>
          <w:b/>
          <w:bCs/>
          <w:i/>
          <w:iCs/>
        </w:rPr>
        <w:t>a Kelet-Közép-Európában először nálunk bevezetett távprogramozás</w:t>
      </w:r>
      <w:r w:rsidRPr="00C95A83">
        <w:rPr>
          <w:i/>
          <w:iCs/>
        </w:rPr>
        <w:t xml:space="preserve">, a legutóbbi fontos fejlesztés pedig a térségben szintén először általunk használt újratölthető változat. Mindkettő jelentősen megkönnyíti a mélyagyi stimuláción átesett betegek életét, hiszen </w:t>
      </w:r>
      <w:r w:rsidRPr="00C95A83">
        <w:rPr>
          <w:b/>
          <w:bCs/>
          <w:i/>
          <w:iCs/>
        </w:rPr>
        <w:t>nem kell megterhelő, sok esetben hosszú utazásokat megtenniük a klinikára</w:t>
      </w:r>
      <w:r w:rsidRPr="00C95A83">
        <w:rPr>
          <w:i/>
          <w:iCs/>
        </w:rPr>
        <w:t xml:space="preserve">. A gyógyszeres kezelések terén újdonság a </w:t>
      </w:r>
      <w:r w:rsidRPr="00C95A83">
        <w:rPr>
          <w:b/>
          <w:bCs/>
          <w:i/>
          <w:iCs/>
        </w:rPr>
        <w:t>bőr alá beültethető pumpás rendszer</w:t>
      </w:r>
      <w:r w:rsidRPr="00C95A83">
        <w:rPr>
          <w:i/>
          <w:iCs/>
        </w:rPr>
        <w:t>, ami elősegíti a hatóanyagok egyenletes felszívódását, és csak egy egyszerű beavatkozást igényel”</w:t>
      </w:r>
      <w:r w:rsidRPr="00C95A83">
        <w:t xml:space="preserve"> – részletezi Kovács Norbert.</w:t>
      </w:r>
    </w:p>
    <w:p w14:paraId="0476C083" w14:textId="40A50DC6" w:rsidR="00A57AF1" w:rsidRPr="00C95A83" w:rsidRDefault="00A57AF1" w:rsidP="00A57AF1">
      <w:pPr>
        <w:jc w:val="left"/>
      </w:pPr>
      <w:r w:rsidRPr="00C95A83">
        <w:rPr>
          <w:b/>
          <w:bCs/>
        </w:rPr>
        <w:t>A megfelelő időablak megtalálása</w:t>
      </w:r>
    </w:p>
    <w:p w14:paraId="3065F378" w14:textId="362C8782" w:rsidR="00A57AF1" w:rsidRPr="00C95A83" w:rsidRDefault="00A57AF1" w:rsidP="00A57AF1">
      <w:pPr>
        <w:jc w:val="left"/>
      </w:pPr>
      <w:r w:rsidRPr="00C95A83">
        <w:t xml:space="preserve">A Parkinson-kór kezelésének egyik legnagyobb kihívása </w:t>
      </w:r>
      <w:r w:rsidRPr="00C95A83">
        <w:rPr>
          <w:b/>
          <w:bCs/>
        </w:rPr>
        <w:t>a betegség minél korábbi diagnosztizálása</w:t>
      </w:r>
      <w:r w:rsidRPr="00C95A83">
        <w:t xml:space="preserve">, a korai stádiumokban ugyanis lényegesen jobban lassítható a tünetek </w:t>
      </w:r>
      <w:r w:rsidRPr="00C95A83">
        <w:lastRenderedPageBreak/>
        <w:t xml:space="preserve">súlyosbodása. Miután a kezdeti jelek számos más betegségre is utalhatnak, ez rendkívül nehéz munka. A problémán magyar kutatók is dolgoznak, nekik köszönhető például egy jellegzetes agyi mintázat, az úgynevezett </w:t>
      </w:r>
      <w:r w:rsidRPr="00C95A83">
        <w:rPr>
          <w:b/>
          <w:bCs/>
        </w:rPr>
        <w:t>fecskefarok jel</w:t>
      </w:r>
      <w:r w:rsidRPr="00C95A83">
        <w:t xml:space="preserve"> diagnosztikai felhasználása. A fecskefarok jel egy speciális MR felvételen látható jellegzetes agyi mintázat, amelynek eltűnése a betegség néhány éven belüli megjelenésére utal. Mindez az egyéb indikátorokkal kiegészítve nagy biztonsággal jelzi előre a Parkinson-kórt, és így jól használható a betegség kizárására vagy megerősítésére. </w:t>
      </w:r>
      <w:r w:rsidRPr="00C95A83">
        <w:rPr>
          <w:b/>
          <w:bCs/>
        </w:rPr>
        <w:t>A módszer megbízható alkalmazását lehetővé tevő speciális MR beállításokat pécsi kutatók dolgozták ki nemzetközi partnereik segítségével</w:t>
      </w:r>
      <w:r w:rsidRPr="00C95A83">
        <w:t>.</w:t>
      </w:r>
    </w:p>
    <w:p w14:paraId="17B57EC7" w14:textId="65576502" w:rsidR="00A57AF1" w:rsidRPr="00C95A83" w:rsidRDefault="00A57AF1" w:rsidP="00A57AF1">
      <w:pPr>
        <w:jc w:val="left"/>
      </w:pPr>
      <w:r w:rsidRPr="00C95A83">
        <w:t>Emellett nagyon fontos a betegek állapotának folyamatos nyomon követése, és az állapotnak leginkább megfelelő kezelési módszerek alkalmazása – már csak azért is, mert a betegség egyre gyakrabban érinti az aktív korosztályok tagjait.</w:t>
      </w:r>
      <w:r w:rsidRPr="00C95A83">
        <w:rPr>
          <w:i/>
          <w:iCs/>
        </w:rPr>
        <w:t xml:space="preserve"> „Talán nem köztudott, </w:t>
      </w:r>
      <w:r w:rsidRPr="00C95A83">
        <w:rPr>
          <w:b/>
          <w:bCs/>
          <w:i/>
          <w:iCs/>
        </w:rPr>
        <w:t>hogy a Parkinson-kórral akár évtizedekig is együtt lehet élni úgy, hogy a beteg megőrzi aktivitását és munkaképességét</w:t>
      </w:r>
      <w:r w:rsidRPr="00C95A83">
        <w:rPr>
          <w:i/>
          <w:iCs/>
        </w:rPr>
        <w:t xml:space="preserve">, ám ehhez kulcsfontosságú a </w:t>
      </w:r>
      <w:r w:rsidRPr="00C95A83">
        <w:rPr>
          <w:b/>
          <w:bCs/>
          <w:i/>
          <w:iCs/>
        </w:rPr>
        <w:t>megfelelő terápia időben történő bevetése</w:t>
      </w:r>
      <w:r w:rsidRPr="00C95A83">
        <w:rPr>
          <w:i/>
          <w:iCs/>
        </w:rPr>
        <w:t>. A tapasztalat azt mutatja, hogy amennyiben egy beteg állapota miatt kiesik a munkaerőpiacról, úgy hiába mérsékeljük a tüneteket a kezelés megváltoztatásával, szinte lehetetlen újra munkát találnia. Ennek pedig súlyos egyéni és társadalmi következményei vannak. A munkájukat elvesztők körében sokkal gyakoribb a depresszió, kezelésük pedig mind szűkebb környezetük, mind a társadalom számára terhet jelent</w:t>
      </w:r>
      <w:r w:rsidRPr="00C95A83">
        <w:t>” – hangsúlyozza a szakértő.</w:t>
      </w:r>
    </w:p>
    <w:p w14:paraId="6A10F182" w14:textId="64CAF54F" w:rsidR="00A57AF1" w:rsidRPr="00C95A83" w:rsidRDefault="00A57AF1" w:rsidP="00A57AF1">
      <w:pPr>
        <w:jc w:val="left"/>
      </w:pPr>
      <w:r w:rsidRPr="00C95A83">
        <w:t xml:space="preserve">Épp ezért </w:t>
      </w:r>
      <w:r w:rsidRPr="00C95A83">
        <w:rPr>
          <w:b/>
          <w:bCs/>
        </w:rPr>
        <w:t>a legelterjedtebb neurológiai betegségek</w:t>
      </w:r>
      <w:r w:rsidRPr="00C95A83">
        <w:t xml:space="preserve"> (a Parkinson-kór mellett idetartozik még többek között stroke és az epilepszia is) </w:t>
      </w:r>
      <w:r w:rsidRPr="00C95A83">
        <w:rPr>
          <w:b/>
          <w:bCs/>
        </w:rPr>
        <w:t>kezelésének módszertani javítására törekvő TINL keretein belül Kovács Norbert és kollégái olyan űrlaprendszert dolgoztak ki, amely használatával pontosan nyomon követhető a betegek állapotának változása</w:t>
      </w:r>
      <w:r w:rsidRPr="00C95A83">
        <w:t>, és így meghatározható, hogy mikor érdemes változtatni a kezelésen.</w:t>
      </w:r>
    </w:p>
    <w:p w14:paraId="5D699808" w14:textId="5931D401" w:rsidR="00A57AF1" w:rsidRPr="00C95A83" w:rsidRDefault="00A57AF1" w:rsidP="00A57AF1">
      <w:pPr>
        <w:jc w:val="left"/>
      </w:pPr>
      <w:r w:rsidRPr="00C95A83">
        <w:rPr>
          <w:i/>
          <w:iCs/>
        </w:rPr>
        <w:t xml:space="preserve">„A Parkinson-kórra számos tünet jellemző, és ezek egységes mérése, kiértékelése révén lehet legjobban meghatározni a betegség aktuális stádiumát. Az általunk kidolgozott űrlaprendszer számos paramétert tartalmaz, és megfelelő használata esetén jóval több minden derül ki, mint egy tíz-húsz perces orvosi vizsgálat során. Ez azért is fontos, mert </w:t>
      </w:r>
      <w:r w:rsidRPr="00C95A83">
        <w:rPr>
          <w:b/>
          <w:bCs/>
          <w:i/>
          <w:iCs/>
        </w:rPr>
        <w:t>nem egyszerű megtalálni azt az időablakot, amikor még a beteg tüneteinek jelentős romlása és az ezzel járó negatív egyéni és társadalmi következmények nélkül végrehajtható a gyógyszeres terápia után következő műtéti kezelés</w:t>
      </w:r>
      <w:r w:rsidRPr="00C95A83">
        <w:rPr>
          <w:i/>
          <w:iCs/>
        </w:rPr>
        <w:t>. Amennyiben erre túl későn kerül sor, úgy a kezelés sajnos már nem annyira hatékony, ha viszont túl korán lépünk, akkor feleslegesen tesszük ki a beteget egy agyi műtét kockázatainak. A lényeg</w:t>
      </w:r>
      <w:r w:rsidRPr="00C95A83">
        <w:rPr>
          <w:b/>
          <w:bCs/>
          <w:i/>
          <w:iCs/>
        </w:rPr>
        <w:t xml:space="preserve">: sokkal egyszerűbb megőrizni egy képességet, mint </w:t>
      </w:r>
      <w:r w:rsidRPr="00C95A83">
        <w:rPr>
          <w:b/>
          <w:bCs/>
          <w:i/>
          <w:iCs/>
        </w:rPr>
        <w:lastRenderedPageBreak/>
        <w:t>visszaszerezni azt</w:t>
      </w:r>
      <w:r w:rsidRPr="00C95A83">
        <w:rPr>
          <w:i/>
          <w:iCs/>
        </w:rPr>
        <w:t>, és ehhez az épp megfelelő pillanatban végrehajtott beavatkozásra van szükség”</w:t>
      </w:r>
      <w:r w:rsidRPr="00C95A83">
        <w:t xml:space="preserve"> – érzékelteti a téteket Kovács Norbert.</w:t>
      </w:r>
    </w:p>
    <w:p w14:paraId="3D67FFD0" w14:textId="679F1150" w:rsidR="00A57AF1" w:rsidRPr="00C95A83" w:rsidRDefault="00A57AF1" w:rsidP="00A57AF1">
      <w:pPr>
        <w:jc w:val="left"/>
        <w:rPr>
          <w:b/>
          <w:bCs/>
        </w:rPr>
      </w:pPr>
      <w:r w:rsidRPr="00C95A83">
        <w:rPr>
          <w:b/>
          <w:bCs/>
        </w:rPr>
        <w:t>Támogatott terápiák vannak, társadalmi támogatás nincs</w:t>
      </w:r>
    </w:p>
    <w:p w14:paraId="420D05BA" w14:textId="5C6819EE" w:rsidR="00A57AF1" w:rsidRPr="00C95A83" w:rsidRDefault="00A57AF1" w:rsidP="00A57AF1">
      <w:pPr>
        <w:jc w:val="left"/>
      </w:pPr>
      <w:r w:rsidRPr="00C95A83">
        <w:t xml:space="preserve">A </w:t>
      </w:r>
      <w:r w:rsidRPr="00C95A83">
        <w:rPr>
          <w:b/>
          <w:bCs/>
        </w:rPr>
        <w:t>mélyagyi stimulációs technológiák</w:t>
      </w:r>
      <w:r w:rsidRPr="00C95A83">
        <w:t xml:space="preserve"> terén az elmúlt időszakban </w:t>
      </w:r>
      <w:r w:rsidRPr="00C95A83">
        <w:rPr>
          <w:b/>
          <w:bCs/>
        </w:rPr>
        <w:t>jelentős előrelépések</w:t>
      </w:r>
      <w:r w:rsidRPr="00C95A83">
        <w:t xml:space="preserve"> történtek. Az egyik a már említett </w:t>
      </w:r>
      <w:r w:rsidRPr="00C95A83">
        <w:rPr>
          <w:b/>
          <w:bCs/>
        </w:rPr>
        <w:t>újratölthető rendszer</w:t>
      </w:r>
      <w:r w:rsidRPr="00C95A83">
        <w:t xml:space="preserve">, aminek köszönhetően nem kell néhány évente kicserélni az elektródák működését szabályozó pacemakert, a másik pedig az úgynevezett </w:t>
      </w:r>
      <w:r w:rsidRPr="00C95A83">
        <w:rPr>
          <w:b/>
          <w:bCs/>
        </w:rPr>
        <w:t>adaptív rendszer</w:t>
      </w:r>
      <w:r w:rsidRPr="00C95A83">
        <w:t xml:space="preserve">, ami az orvos által meghatározott paraméterek között </w:t>
      </w:r>
      <w:r w:rsidRPr="00C95A83">
        <w:rPr>
          <w:b/>
          <w:bCs/>
        </w:rPr>
        <w:t>önszabályozó módon képes csökkenteni vagy növelni az agyi stimuláció mértékét</w:t>
      </w:r>
      <w:r w:rsidRPr="00C95A83">
        <w:t>. Minderre az agyi működés ciklikus mivolta miatt lehet szükség, és az ilyen modern rendszerek kevesebb mellékhatással, egyben hatékonyabban csökkentik a tüneteket. A terápiás lehetőségek bővülése mindenképpen jó hír a Parkinson-kórral élőknek, ám más, az orvostudományon túli területeken még bőven akad tennivaló.</w:t>
      </w:r>
    </w:p>
    <w:p w14:paraId="396722E2" w14:textId="20B7A092" w:rsidR="00A57AF1" w:rsidRPr="00C95A83" w:rsidRDefault="00A57AF1" w:rsidP="00A57AF1">
      <w:pPr>
        <w:jc w:val="left"/>
      </w:pPr>
      <w:r w:rsidRPr="00C95A83">
        <w:rPr>
          <w:i/>
          <w:iCs/>
        </w:rPr>
        <w:t>„</w:t>
      </w:r>
      <w:r w:rsidRPr="00C95A83">
        <w:rPr>
          <w:b/>
          <w:bCs/>
          <w:i/>
          <w:iCs/>
        </w:rPr>
        <w:t>Az új terápiák és eszközök mindegyike elérhető a magyar betegek számára is</w:t>
      </w:r>
      <w:r w:rsidRPr="00C95A83">
        <w:rPr>
          <w:i/>
          <w:iCs/>
        </w:rPr>
        <w:t xml:space="preserve">, ami azt jelenti, hogy </w:t>
      </w:r>
      <w:r w:rsidRPr="00C95A83">
        <w:rPr>
          <w:b/>
          <w:bCs/>
          <w:i/>
          <w:iCs/>
        </w:rPr>
        <w:t>egyre több módon tudunk segíteni rajtuk</w:t>
      </w:r>
      <w:r w:rsidRPr="00C95A83">
        <w:rPr>
          <w:i/>
          <w:iCs/>
        </w:rPr>
        <w:t xml:space="preserve">. Viszont sajnos a betegek a mai napig komoly hátrányokat szenvednek el a megfelelő szabályozások hiánya miatt. Ilyen hátrány például, hogy szemben más, esetenként jóval kevésbé súlyos krónikus betegségekkel, </w:t>
      </w:r>
      <w:r w:rsidRPr="00C95A83">
        <w:rPr>
          <w:b/>
          <w:bCs/>
          <w:i/>
          <w:iCs/>
        </w:rPr>
        <w:t>a Parkinson-kórral élők nem részesülnek adójóváírásban, holott sokan közülük még dolgoznak</w:t>
      </w:r>
      <w:r w:rsidRPr="00C95A83">
        <w:rPr>
          <w:i/>
          <w:iCs/>
        </w:rPr>
        <w:t xml:space="preserve">. De említhetném azt is, hogy </w:t>
      </w:r>
      <w:r w:rsidRPr="00C95A83">
        <w:rPr>
          <w:b/>
          <w:bCs/>
          <w:i/>
          <w:iCs/>
        </w:rPr>
        <w:t>kedvezményes parkolási lehetőségekben is nehezen részesülnek</w:t>
      </w:r>
      <w:r w:rsidRPr="00C95A83">
        <w:rPr>
          <w:i/>
          <w:iCs/>
        </w:rPr>
        <w:t>, hiába szenved sokuk súlyos mozgászavarban”</w:t>
      </w:r>
      <w:r w:rsidRPr="00C95A83">
        <w:t xml:space="preserve"> – hoz megdöbbentő példákat a Magyar Tudományos Parkinson Társaság elnöke.</w:t>
      </w:r>
    </w:p>
    <w:p w14:paraId="44B21B62" w14:textId="77777777" w:rsidR="00A57AF1" w:rsidRPr="00C95A83" w:rsidRDefault="00A57AF1" w:rsidP="00A57AF1">
      <w:pPr>
        <w:jc w:val="left"/>
      </w:pPr>
      <w:r w:rsidRPr="00C95A83">
        <w:t xml:space="preserve">A Parkinson-kór világnapja remélhetőleg megfelelő alkalom arra, hogy felhívja a figyelmet a betegséggel élők hátrányos megkülönböztetésére, és ezen a téren is előrelépés történjen. </w:t>
      </w:r>
    </w:p>
    <w:p w14:paraId="7FD14BED" w14:textId="77777777" w:rsidR="00A57AF1" w:rsidRPr="00C95A83" w:rsidRDefault="00A57AF1" w:rsidP="00A57AF1">
      <w:pPr>
        <w:jc w:val="left"/>
      </w:pPr>
    </w:p>
    <w:p w14:paraId="634C399F" w14:textId="759011AB" w:rsidR="00F149C1" w:rsidRPr="00C95A83" w:rsidRDefault="00F149C1" w:rsidP="00F5089D">
      <w:pPr>
        <w:jc w:val="left"/>
        <w:rPr>
          <w:rFonts w:cs="Poppins Light"/>
          <w:i/>
          <w:iCs/>
          <w:u w:val="single"/>
        </w:rPr>
      </w:pPr>
    </w:p>
    <w:sectPr w:rsidR="00F149C1" w:rsidRPr="00C95A83" w:rsidSect="00010D0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AD9D" w14:textId="77777777" w:rsidR="008B1C12" w:rsidRDefault="008B1C12" w:rsidP="00A2314E">
      <w:pPr>
        <w:spacing w:after="0" w:line="240" w:lineRule="auto"/>
      </w:pPr>
      <w:r>
        <w:separator/>
      </w:r>
    </w:p>
  </w:endnote>
  <w:endnote w:type="continuationSeparator" w:id="0">
    <w:p w14:paraId="4F61E119" w14:textId="77777777" w:rsidR="008B1C12" w:rsidRDefault="008B1C12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 Light"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Planer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7817821"/>
      <w:docPartObj>
        <w:docPartGallery w:val="Page Numbers (Bottom of Page)"/>
        <w:docPartUnique/>
      </w:docPartObj>
    </w:sdtPr>
    <w:sdtContent>
      <w:p w14:paraId="27778492" w14:textId="4431906F" w:rsidR="00F149C1" w:rsidRDefault="00F149C1">
        <w:pPr>
          <w:pStyle w:val="llb"/>
          <w:jc w:val="center"/>
        </w:pPr>
      </w:p>
      <w:tbl>
        <w:tblPr>
          <w:tblStyle w:val="Rcsostblzat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57" w:type="dxa"/>
          </w:tblCellMar>
          <w:tblLook w:val="04A0" w:firstRow="1" w:lastRow="0" w:firstColumn="1" w:lastColumn="0" w:noHBand="0" w:noVBand="1"/>
        </w:tblPr>
        <w:tblGrid>
          <w:gridCol w:w="1106"/>
          <w:gridCol w:w="2835"/>
          <w:gridCol w:w="2693"/>
          <w:gridCol w:w="1134"/>
        </w:tblGrid>
        <w:tr w:rsidR="00F149C1" w14:paraId="11353756" w14:textId="77777777" w:rsidTr="00B146C5">
          <w:trPr>
            <w:trHeight w:val="397"/>
          </w:trPr>
          <w:tc>
            <w:tcPr>
              <w:tcW w:w="1106" w:type="dxa"/>
              <w:vMerge w:val="restart"/>
              <w:vAlign w:val="center"/>
            </w:tcPr>
            <w:p w14:paraId="2F25AE0E" w14:textId="77777777" w:rsidR="00F149C1" w:rsidRPr="005D4F3C" w:rsidRDefault="00F149C1" w:rsidP="00F149C1">
              <w:pPr>
                <w:pStyle w:val="llb"/>
                <w:jc w:val="left"/>
                <w:rPr>
                  <w:color w:val="121D46"/>
                </w:rPr>
              </w:pPr>
              <w:r w:rsidRPr="005D4F3C">
                <w:rPr>
                  <w:noProof/>
                  <w:color w:val="121D46"/>
                  <w:lang w:eastAsia="hu-HU"/>
                </w:rPr>
                <w:drawing>
                  <wp:inline distT="0" distB="0" distL="0" distR="0" wp14:anchorId="31B35EEC" wp14:editId="494D491D">
                    <wp:extent cx="466725" cy="504825"/>
                    <wp:effectExtent l="0" t="0" r="9525" b="9525"/>
                    <wp:docPr id="5" name="Kép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66725" cy="50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2835" w:type="dxa"/>
            </w:tcPr>
            <w:p w14:paraId="539320D5" w14:textId="77777777" w:rsidR="00F149C1" w:rsidRPr="005D4F3C" w:rsidRDefault="00F149C1" w:rsidP="00F149C1">
              <w:pPr>
                <w:pStyle w:val="llb"/>
                <w:rPr>
                  <w:rFonts w:ascii="Poppins" w:hAnsi="Poppins" w:cs="Poppins"/>
                  <w:b/>
                  <w:color w:val="121D46"/>
                  <w:sz w:val="14"/>
                  <w:szCs w:val="14"/>
                </w:rPr>
              </w:pPr>
              <w:r>
                <w:rPr>
                  <w:rFonts w:ascii="Poppins" w:hAnsi="Poppins" w:cs="Poppins"/>
                  <w:b/>
                  <w:color w:val="121D46"/>
                  <w:sz w:val="14"/>
                  <w:szCs w:val="14"/>
                </w:rPr>
                <w:t>PTE ÁOK MKO PR Kommunikációs Iroda</w:t>
              </w:r>
            </w:p>
            <w:p w14:paraId="4E5F6BBC" w14:textId="77777777" w:rsidR="00F149C1" w:rsidRPr="005D4F3C" w:rsidRDefault="00F149C1" w:rsidP="00F149C1">
              <w:pPr>
                <w:pStyle w:val="llb"/>
                <w:jc w:val="left"/>
                <w:rPr>
                  <w:rFonts w:ascii="Poppins" w:hAnsi="Poppins" w:cs="Poppins"/>
                  <w:b/>
                  <w:color w:val="121D46"/>
                  <w:sz w:val="14"/>
                  <w:szCs w:val="14"/>
                </w:rPr>
              </w:pPr>
            </w:p>
          </w:tc>
          <w:tc>
            <w:tcPr>
              <w:tcW w:w="2693" w:type="dxa"/>
            </w:tcPr>
            <w:p w14:paraId="3DB4FBC4" w14:textId="77777777" w:rsidR="00F149C1" w:rsidRPr="005D4F3C" w:rsidRDefault="00F149C1" w:rsidP="00F149C1">
              <w:pPr>
                <w:pStyle w:val="llb"/>
                <w:rPr>
                  <w:color w:val="121D46"/>
                </w:rPr>
              </w:pPr>
            </w:p>
          </w:tc>
          <w:tc>
            <w:tcPr>
              <w:tcW w:w="1134" w:type="dxa"/>
              <w:vMerge w:val="restart"/>
              <w:vAlign w:val="center"/>
            </w:tcPr>
            <w:p w14:paraId="632B5A54" w14:textId="77777777" w:rsidR="00F149C1" w:rsidRDefault="00F149C1" w:rsidP="00F149C1">
              <w:pPr>
                <w:pStyle w:val="llb"/>
                <w:jc w:val="left"/>
              </w:pPr>
            </w:p>
          </w:tc>
        </w:tr>
        <w:tr w:rsidR="00F149C1" w14:paraId="028B366B" w14:textId="77777777" w:rsidTr="00B146C5">
          <w:trPr>
            <w:trHeight w:val="397"/>
          </w:trPr>
          <w:tc>
            <w:tcPr>
              <w:tcW w:w="1106" w:type="dxa"/>
              <w:vMerge/>
            </w:tcPr>
            <w:p w14:paraId="4198AA85" w14:textId="77777777" w:rsidR="00F149C1" w:rsidRPr="005D4F3C" w:rsidRDefault="00F149C1" w:rsidP="00F149C1">
              <w:pPr>
                <w:pStyle w:val="llb"/>
                <w:rPr>
                  <w:color w:val="121D46"/>
                </w:rPr>
              </w:pPr>
            </w:p>
          </w:tc>
          <w:tc>
            <w:tcPr>
              <w:tcW w:w="2835" w:type="dxa"/>
            </w:tcPr>
            <w:p w14:paraId="18D286B6" w14:textId="77777777" w:rsidR="00F149C1" w:rsidRDefault="00F149C1" w:rsidP="00F149C1">
              <w:pPr>
                <w:pStyle w:val="llb"/>
                <w:rPr>
                  <w:rFonts w:ascii="Planer Light" w:hAnsi="Planer Light"/>
                  <w:color w:val="121D46"/>
                  <w:sz w:val="14"/>
                  <w:szCs w:val="14"/>
                </w:rPr>
              </w:pPr>
            </w:p>
            <w:p w14:paraId="5F86B827" w14:textId="77777777" w:rsidR="00F149C1" w:rsidRPr="005D4F3C" w:rsidRDefault="00F149C1" w:rsidP="00F149C1">
              <w:pPr>
                <w:pStyle w:val="llb"/>
                <w:rPr>
                  <w:rFonts w:ascii="Planer Light" w:hAnsi="Planer Light"/>
                  <w:color w:val="121D46"/>
                  <w:sz w:val="14"/>
                  <w:szCs w:val="14"/>
                </w:rPr>
              </w:pPr>
              <w:r w:rsidRPr="005D4F3C">
                <w:rPr>
                  <w:rFonts w:ascii="Planer Light" w:hAnsi="Planer Light"/>
                  <w:color w:val="121D46"/>
                  <w:sz w:val="14"/>
                  <w:szCs w:val="14"/>
                </w:rPr>
                <w:t>H-7624 Pécs, Szigeti út 12.</w:t>
              </w:r>
            </w:p>
          </w:tc>
          <w:tc>
            <w:tcPr>
              <w:tcW w:w="2693" w:type="dxa"/>
            </w:tcPr>
            <w:p w14:paraId="4E53874F" w14:textId="77777777" w:rsidR="00F149C1" w:rsidRPr="005D4F3C" w:rsidRDefault="00F149C1" w:rsidP="00F149C1">
              <w:pPr>
                <w:pStyle w:val="llb"/>
                <w:rPr>
                  <w:rFonts w:ascii="Planer Light" w:hAnsi="Planer Light"/>
                  <w:color w:val="121D46"/>
                  <w:sz w:val="14"/>
                  <w:szCs w:val="14"/>
                </w:rPr>
              </w:pPr>
              <w:r w:rsidRPr="005D4F3C">
                <w:rPr>
                  <w:rFonts w:ascii="Planer Light" w:hAnsi="Planer Light"/>
                  <w:color w:val="121D46"/>
                  <w:sz w:val="14"/>
                  <w:szCs w:val="14"/>
                </w:rPr>
                <w:t>+36 (72) 536-</w:t>
              </w:r>
              <w:r>
                <w:rPr>
                  <w:rFonts w:ascii="Planer Light" w:hAnsi="Planer Light"/>
                  <w:color w:val="121D46"/>
                  <w:sz w:val="14"/>
                  <w:szCs w:val="14"/>
                </w:rPr>
                <w:t>416</w:t>
              </w:r>
              <w:r w:rsidRPr="005D4F3C">
                <w:rPr>
                  <w:rFonts w:ascii="Planer Light" w:hAnsi="Planer Light"/>
                  <w:color w:val="121D46"/>
                  <w:sz w:val="14"/>
                  <w:szCs w:val="14"/>
                </w:rPr>
                <w:t xml:space="preserve"> /35</w:t>
              </w:r>
              <w:r>
                <w:rPr>
                  <w:rFonts w:ascii="Planer Light" w:hAnsi="Planer Light"/>
                  <w:color w:val="121D46"/>
                  <w:sz w:val="14"/>
                  <w:szCs w:val="14"/>
                </w:rPr>
                <w:t>417</w:t>
              </w:r>
            </w:p>
            <w:p w14:paraId="757AC50D" w14:textId="069FB49E" w:rsidR="00F149C1" w:rsidRPr="005D4F3C" w:rsidRDefault="00F149C1" w:rsidP="00F149C1">
              <w:pPr>
                <w:pStyle w:val="llb"/>
                <w:rPr>
                  <w:rFonts w:ascii="Planer Light" w:hAnsi="Planer Light"/>
                  <w:color w:val="121D46"/>
                  <w:sz w:val="14"/>
                  <w:szCs w:val="14"/>
                </w:rPr>
              </w:pPr>
              <w:r>
                <w:rPr>
                  <w:rFonts w:ascii="Planer Light" w:hAnsi="Planer Light"/>
                  <w:color w:val="121D46"/>
                  <w:sz w:val="14"/>
                  <w:szCs w:val="14"/>
                </w:rPr>
                <w:t>viktor.harta@aok.pte.hu</w:t>
              </w:r>
            </w:p>
          </w:tc>
          <w:tc>
            <w:tcPr>
              <w:tcW w:w="1134" w:type="dxa"/>
              <w:vMerge/>
            </w:tcPr>
            <w:p w14:paraId="01E67E62" w14:textId="77777777" w:rsidR="00F149C1" w:rsidRDefault="00F149C1" w:rsidP="00F149C1">
              <w:pPr>
                <w:pStyle w:val="llb"/>
              </w:pPr>
            </w:p>
          </w:tc>
        </w:tr>
      </w:tbl>
      <w:p w14:paraId="57C42BCC" w14:textId="1CE20F74" w:rsidR="00F149C1" w:rsidRDefault="00000000">
        <w:pPr>
          <w:pStyle w:val="llb"/>
          <w:jc w:val="center"/>
        </w:pPr>
      </w:p>
    </w:sdtContent>
  </w:sdt>
  <w:p w14:paraId="1566B326" w14:textId="74861AEF" w:rsidR="00C92D91" w:rsidRDefault="00C92D9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2F59F3" w14:paraId="321B54FF" w14:textId="77777777" w:rsidTr="005D4F3C">
      <w:trPr>
        <w:trHeight w:val="397"/>
      </w:trPr>
      <w:tc>
        <w:tcPr>
          <w:tcW w:w="1106" w:type="dxa"/>
          <w:vMerge w:val="restart"/>
          <w:vAlign w:val="center"/>
        </w:tcPr>
        <w:p w14:paraId="05DB6680" w14:textId="77777777" w:rsidR="002F59F3" w:rsidRPr="005D4F3C" w:rsidRDefault="002F59F3" w:rsidP="002F59F3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39FFB1B6" wp14:editId="21516910">
                <wp:extent cx="466725" cy="504825"/>
                <wp:effectExtent l="0" t="0" r="9525" b="9525"/>
                <wp:docPr id="102" name="Kép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4CF7DD51" w14:textId="7C1173AD" w:rsidR="002F59F3" w:rsidRPr="005D4F3C" w:rsidRDefault="000010AA" w:rsidP="005D4F3C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BF25BB1" w14:textId="77777777" w:rsidR="005D4F3C" w:rsidRPr="005D4F3C" w:rsidRDefault="005D4F3C" w:rsidP="005D4F3C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7BB48B62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585438FE" w14:textId="6B4A0DCF" w:rsidR="002F59F3" w:rsidRDefault="002F59F3" w:rsidP="002F59F3">
          <w:pPr>
            <w:pStyle w:val="llb"/>
            <w:jc w:val="left"/>
          </w:pPr>
        </w:p>
      </w:tc>
    </w:tr>
    <w:tr w:rsidR="002F59F3" w14:paraId="7681C567" w14:textId="77777777" w:rsidTr="005D4F3C">
      <w:trPr>
        <w:trHeight w:val="397"/>
      </w:trPr>
      <w:tc>
        <w:tcPr>
          <w:tcW w:w="1106" w:type="dxa"/>
          <w:vMerge/>
        </w:tcPr>
        <w:p w14:paraId="5D98839E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2CB7B532" w14:textId="77777777" w:rsidR="000010AA" w:rsidRDefault="000010AA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35622144" w14:textId="1ECCAA8D" w:rsidR="005D4F3C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10A2F45D" w14:textId="4D3D3368" w:rsidR="002F59F3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56855246" w14:textId="1FFEB3D9" w:rsidR="005D4F3C" w:rsidRPr="005D4F3C" w:rsidRDefault="00F149C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viktor.harta@aok.pte.hu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53B23400" w14:textId="77777777" w:rsidR="002F59F3" w:rsidRDefault="002F59F3">
          <w:pPr>
            <w:pStyle w:val="llb"/>
          </w:pPr>
        </w:p>
      </w:tc>
    </w:tr>
  </w:tbl>
  <w:p w14:paraId="6B7F05B7" w14:textId="0E4CAE79" w:rsidR="00780B10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26A2903" wp14:editId="20CC9205">
          <wp:simplePos x="0" y="0"/>
          <wp:positionH relativeFrom="page">
            <wp:posOffset>504190</wp:posOffset>
          </wp:positionH>
          <wp:positionV relativeFrom="page">
            <wp:posOffset>10193655</wp:posOffset>
          </wp:positionV>
          <wp:extent cx="7020000" cy="20664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B10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85279D8" wp14:editId="3406571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104" name="Kép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7387" w14:textId="77777777" w:rsidR="008B1C12" w:rsidRDefault="008B1C12" w:rsidP="00A2314E">
      <w:pPr>
        <w:spacing w:after="0" w:line="240" w:lineRule="auto"/>
      </w:pPr>
      <w:r>
        <w:separator/>
      </w:r>
    </w:p>
  </w:footnote>
  <w:footnote w:type="continuationSeparator" w:id="0">
    <w:p w14:paraId="057EAD98" w14:textId="77777777" w:rsidR="008B1C12" w:rsidRDefault="008B1C12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11F7"/>
    <w:multiLevelType w:val="hybridMultilevel"/>
    <w:tmpl w:val="BF407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B3539"/>
    <w:multiLevelType w:val="hybridMultilevel"/>
    <w:tmpl w:val="2980925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1591B"/>
    <w:multiLevelType w:val="hybridMultilevel"/>
    <w:tmpl w:val="70AE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81264">
    <w:abstractNumId w:val="5"/>
  </w:num>
  <w:num w:numId="2" w16cid:durableId="6254459">
    <w:abstractNumId w:val="2"/>
  </w:num>
  <w:num w:numId="3" w16cid:durableId="262686437">
    <w:abstractNumId w:val="4"/>
  </w:num>
  <w:num w:numId="4" w16cid:durableId="305354767">
    <w:abstractNumId w:val="0"/>
  </w:num>
  <w:num w:numId="5" w16cid:durableId="415706997">
    <w:abstractNumId w:val="6"/>
  </w:num>
  <w:num w:numId="6" w16cid:durableId="1994139465">
    <w:abstractNumId w:val="3"/>
  </w:num>
  <w:num w:numId="7" w16cid:durableId="1703436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010AA"/>
    <w:rsid w:val="00010D0F"/>
    <w:rsid w:val="000244DF"/>
    <w:rsid w:val="00041BFB"/>
    <w:rsid w:val="000738B7"/>
    <w:rsid w:val="000E132E"/>
    <w:rsid w:val="000E3C46"/>
    <w:rsid w:val="001017CC"/>
    <w:rsid w:val="00132F26"/>
    <w:rsid w:val="00156ABF"/>
    <w:rsid w:val="001B4B7E"/>
    <w:rsid w:val="002F59F3"/>
    <w:rsid w:val="00305B3A"/>
    <w:rsid w:val="00316594"/>
    <w:rsid w:val="004027E2"/>
    <w:rsid w:val="00426DE9"/>
    <w:rsid w:val="00537D65"/>
    <w:rsid w:val="00585A23"/>
    <w:rsid w:val="00591C71"/>
    <w:rsid w:val="005D27F5"/>
    <w:rsid w:val="005D4F3C"/>
    <w:rsid w:val="006E1A9A"/>
    <w:rsid w:val="0070644A"/>
    <w:rsid w:val="007103C4"/>
    <w:rsid w:val="00727A93"/>
    <w:rsid w:val="00780B10"/>
    <w:rsid w:val="007973D5"/>
    <w:rsid w:val="0082295A"/>
    <w:rsid w:val="008265B6"/>
    <w:rsid w:val="00851507"/>
    <w:rsid w:val="00884ED3"/>
    <w:rsid w:val="0089105D"/>
    <w:rsid w:val="008B1C12"/>
    <w:rsid w:val="00914E0B"/>
    <w:rsid w:val="0094590F"/>
    <w:rsid w:val="0095348C"/>
    <w:rsid w:val="00973FC9"/>
    <w:rsid w:val="009B2602"/>
    <w:rsid w:val="00A2314E"/>
    <w:rsid w:val="00A57AF1"/>
    <w:rsid w:val="00A852B9"/>
    <w:rsid w:val="00B04C8E"/>
    <w:rsid w:val="00B25ACD"/>
    <w:rsid w:val="00B3637A"/>
    <w:rsid w:val="00B72027"/>
    <w:rsid w:val="00C75C16"/>
    <w:rsid w:val="00C81E4A"/>
    <w:rsid w:val="00C92D91"/>
    <w:rsid w:val="00C95A83"/>
    <w:rsid w:val="00CB798D"/>
    <w:rsid w:val="00CC1295"/>
    <w:rsid w:val="00D47262"/>
    <w:rsid w:val="00D76350"/>
    <w:rsid w:val="00D85D80"/>
    <w:rsid w:val="00DA7168"/>
    <w:rsid w:val="00DF7D6A"/>
    <w:rsid w:val="00E16B0D"/>
    <w:rsid w:val="00E85352"/>
    <w:rsid w:val="00EE683B"/>
    <w:rsid w:val="00F04D1E"/>
    <w:rsid w:val="00F149C1"/>
    <w:rsid w:val="00F5089D"/>
    <w:rsid w:val="00FB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8229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2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ACAB-8E26-4DEC-931E-92382B8D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920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Kottász Gergely</cp:lastModifiedBy>
  <cp:revision>8</cp:revision>
  <cp:lastPrinted>2021-06-10T12:02:00Z</cp:lastPrinted>
  <dcterms:created xsi:type="dcterms:W3CDTF">2025-04-06T09:52:00Z</dcterms:created>
  <dcterms:modified xsi:type="dcterms:W3CDTF">2025-04-09T08:10:00Z</dcterms:modified>
</cp:coreProperties>
</file>