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12B33789" w14:textId="77777777" w:rsidR="001E7A3C" w:rsidRPr="001E7A3C" w:rsidRDefault="001E7A3C" w:rsidP="001E7A3C">
      <w:pPr>
        <w:widowControl/>
        <w:suppressAutoHyphens w:val="0"/>
        <w:spacing w:line="259" w:lineRule="auto"/>
        <w:jc w:val="center"/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1E7A3C"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Az elsők között indít MI-informatikus MSc-képzést a PTE MIK</w:t>
      </w:r>
    </w:p>
    <w:p w14:paraId="00662B29" w14:textId="77777777" w:rsidR="001E7A3C" w:rsidRPr="001E7A3C" w:rsidRDefault="001E7A3C" w:rsidP="001E7A3C">
      <w:pPr>
        <w:widowControl/>
        <w:suppressAutoHyphens w:val="0"/>
        <w:spacing w:line="259" w:lineRule="auto"/>
        <w:rPr>
          <w:rFonts w:ascii="Calibri" w:eastAsia="Aptos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6A927F33" w14:textId="77777777" w:rsidR="001E7A3C" w:rsidRPr="001E7A3C" w:rsidRDefault="001E7A3C" w:rsidP="001E7A3C">
      <w:pPr>
        <w:widowControl/>
        <w:suppressAutoHyphens w:val="0"/>
        <w:spacing w:line="259" w:lineRule="auto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1126ABAC" w14:textId="77777777" w:rsidR="001E7A3C" w:rsidRPr="001E7A3C" w:rsidRDefault="001E7A3C" w:rsidP="001E7A3C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001E7A3C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Az ipari termeléstől kezdve az orvoslásig szinte minden területen alkalmazzák a mesterséges intelligenciát (MI/AI), amelynek egyre inkább megkérdőjelezhetetlenné és nélkülözhetetlenné válik a jelenléte. Néhány éve már a hétköznapjaink főszereplőjévé is vált, a felhasználók elsősorban szövegek írására, értelmezésére, új információk megszerzésére és rendszerbe foglalására veszik igénybe. A technológia fejlődése robbanásszerű, a folyamat pedig olyan szakembereket igényel, akik nemcsak használni tudják az AI-t, hanem értik is komoly matematikai és informatikai hátterét. Az országban az elsők között indít Mesterségesintelligencia-informatikus MSc-képzést a Pécsi Tudományegyetem Műszaki és Informatikai Kara (PTE MIK) a 2026/2027-es tanévtől, a cél olyan szakemberek képzése, akik a tudásuk fejlesztését hosszú távon biztosító elméleti alapokra építve képesek magas szinten részt venni a mesterségesintelligencia-megoldások fejlesztésében, létrehozásában, bevezetésében, működtetésében, üzemeltetésében. A pécsi képzés sajátossága, hogy az AI-rendszerek fejlesztését nem önmagában, hanem valós mérnöki, természettudományos és egészségtudományi alkalmazási területekhez kapcsolva tárgyalja, így a végzett szakemberek nemcsak alkalmazni, hanem tervezni, fejleszteni és értékelni is képesek lesznek ezeket a megoldásokat. </w:t>
      </w:r>
    </w:p>
    <w:p w14:paraId="1394B164" w14:textId="77777777" w:rsidR="001E7A3C" w:rsidRPr="001E7A3C" w:rsidRDefault="001E7A3C" w:rsidP="001E7A3C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4A65FCE1" w14:textId="77777777" w:rsidR="001E7A3C" w:rsidRPr="001E7A3C" w:rsidRDefault="001E7A3C" w:rsidP="001E7A3C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1E7A3C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>„A PTE szerencsés helyzetben van abból a szempontból, hogy az alkalmazások azonnal képesek megjelenni a mérnöki, az egészségtudományi, az orvosi, a természettudományi területen. Az is jelentős mértékben emeli képzésünk színvonalát, hogy számos kollégánk régóta foglalkozik intelligens rendszerekkel, intelligens irányításokkal – ez utóbbi területen több mint 20 éves praxisunk van –, de a kutatásaink között szerepelnek a neurális hálózatok, a gépi tanulás, az abból kinövő Machine learning, így jelentős tudást és tapasztalatot halmoztunk fel ezen a téren. Mivel a mérnökinformatikusok felé megjelent az elvárás, hogy legyen rálátásuk az AI-ra, az ezzel kapcsolatos alapismereteket fontosnak tartottuk beépíteni a BSc-képzésünkbe is. Viszont mesterszinten már olyan szakemberek kibocsátása a cél, akik nemcsak professzionálisan használni, hanem tervezni, fejleszteni, tesztelni, értékelni is tudják az ilyen típusú rendszereket. A technikai rész mellett különös figyelmet fordítunk az etikai, jogi, kiberbiztonsági kérdésekre, a már most is meglévő szabályozásokra, a felelős használatra, igyekszünk megfelelően lefedni minden AI-t érintő területet” – összegzi a Mesterségesintelligencia-informatikus MSc-képzés sajátosságait dr. Sári Zoltán, a PTE MIK Műszaki Informatika Tanszék tanszékvezetője.</w:t>
      </w:r>
    </w:p>
    <w:p w14:paraId="45A31C61" w14:textId="77777777" w:rsidR="001E7A3C" w:rsidRPr="001E7A3C" w:rsidRDefault="001E7A3C" w:rsidP="001E7A3C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1D848A82" w14:textId="77777777" w:rsidR="001E7A3C" w:rsidRPr="001E7A3C" w:rsidRDefault="001E7A3C" w:rsidP="001E7A3C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1E7A3C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t xml:space="preserve">A pécsi MI-képzés a szilárd természettudományos és informatikai alapok mellett a mérnöki alkalmazásokra épül. A MIK-en erőteljes a kiberbiztonság, a robotika, a VR-technológiák, a távmanipuláció, az üzemeltetés oldalról a felhő alapú technológiák, a GPU-alapú rendszerek jelenléte, melyek ugyanúgy szerepelnek a tananyagban, mint a mérnökinformatikus MSc-képzésen kiemelt prioritású témakörként megjelenő nagy teljesítményű számítások, amelyek elengedhetetlenek az AI működéséhez. A négy féléves képzésben jelentős szerep hárul a Természettudományi Kar oktatóira, akik a természettudományos alapozásban, valamint speciális alkalmazási területeken szerzett tudásukkal, tapasztalatukkal, illetve speciális laborgyakorlatokkal járulnak hozzá az ismeretanyag spektrumának szélesítéséhez. A PTE MIK kiterjedt iparipartner-kapcsolatai révén olyan alkalmazási területek, témák, közös kutatási területek kapcsolódnak a tananyaghoz, amelyek az AI megjelenésével exponenciálisan gyorsultak fel, és amelyek valós problémákra keresik a megoldásokat. Az alkalmazásorientált szemlélet mellett az időtálló tudás átadása is prioritásként jelenik meg az AI-informatikusok oktatásában. „Ahelyett, hogy bizonyos rendszereket ismerünk és </w:t>
      </w:r>
      <w:r w:rsidRPr="001E7A3C"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lastRenderedPageBreak/>
        <w:t xml:space="preserve">azok specifikus képességeit megtanuljuk, sokkal inkább arra van szükség, hogy az alapoktól felépítve rendszerszinten tudjunk gondolkozni. Ez teszi lehetővé a folyamatos változásra és alkalmazkodásra való képesség kialakulását, így ha bármilyen új eszköz megjelenik, azt a korábbi elméleti alapokra építve tudják használni a nálunk végzett mérnökök – ezt a szemléletet szeretnénk átadni ezen a képzésen. Emellett elengedhetetlen a fejlődés nyomon követése is, csak így szerezhetnek időtálló tudást a jövő AI-informatikusai” – teszi hozzá Sári Zoltán. A pécsi MI-informatikus MSc-képzés iránt máris jelentős érdeklődés mutatkozik, a PTE MIK az országban az első felsőoktatási intézmények között a nyáron meghirdetendő pótfelvételi eljárás keretében fogadja a jelentkezőket. </w:t>
      </w:r>
    </w:p>
    <w:p w14:paraId="00C26BD5" w14:textId="77777777" w:rsidR="001E7A3C" w:rsidRPr="001E7A3C" w:rsidRDefault="001E7A3C" w:rsidP="001E7A3C">
      <w:pPr>
        <w:widowControl/>
        <w:suppressAutoHyphens w:val="0"/>
        <w:spacing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52068A18" w14:textId="0D62A332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65707">
        <w:rPr>
          <w:rFonts w:asciiTheme="minorHAnsi" w:hAnsiTheme="minorHAnsi" w:cstheme="minorHAnsi"/>
          <w:b/>
          <w:bCs/>
          <w:sz w:val="28"/>
          <w:szCs w:val="28"/>
        </w:rPr>
        <w:t>További információ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 sajtó számára</w:t>
      </w:r>
      <w:r w:rsidRPr="00665707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FEC97C7" w14:textId="21DA3A15" w:rsidR="00665707" w:rsidRPr="00665707" w:rsidRDefault="001E7A3C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Sári Zoltán</w:t>
      </w:r>
      <w:r w:rsidR="00665707" w:rsidRPr="006657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tanszékvezető </w:t>
      </w:r>
      <w:r w:rsidR="00665707" w:rsidRPr="00665707">
        <w:rPr>
          <w:rFonts w:asciiTheme="minorHAnsi" w:hAnsiTheme="minorHAnsi" w:cstheme="minorHAnsi"/>
          <w:sz w:val="22"/>
          <w:szCs w:val="22"/>
        </w:rPr>
        <w:t>— PTE MIK Hálózati és Kiberbiztonsági Tanszék</w:t>
      </w:r>
    </w:p>
    <w:p w14:paraId="12879E10" w14:textId="590C3F8A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5707">
        <w:rPr>
          <w:rFonts w:asciiTheme="minorHAnsi" w:hAnsiTheme="minorHAnsi" w:cstheme="minorHAnsi"/>
          <w:sz w:val="22"/>
          <w:szCs w:val="22"/>
        </w:rPr>
        <w:t xml:space="preserve">e-mail: </w:t>
      </w:r>
      <w:r w:rsidR="001E7A3C">
        <w:rPr>
          <w:rFonts w:asciiTheme="minorHAnsi" w:hAnsiTheme="minorHAnsi" w:cstheme="minorHAnsi"/>
          <w:sz w:val="22"/>
          <w:szCs w:val="22"/>
        </w:rPr>
        <w:t>sari.zoltan</w:t>
      </w:r>
      <w:r w:rsidRPr="00665707">
        <w:rPr>
          <w:rFonts w:asciiTheme="minorHAnsi" w:hAnsiTheme="minorHAnsi" w:cstheme="minorHAnsi"/>
          <w:sz w:val="22"/>
          <w:szCs w:val="22"/>
        </w:rPr>
        <w:t>@mik.pte.hu</w:t>
      </w:r>
    </w:p>
    <w:p w14:paraId="77C78D72" w14:textId="64510E91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5707">
        <w:rPr>
          <w:rFonts w:asciiTheme="minorHAnsi" w:hAnsiTheme="minorHAnsi" w:cstheme="minorHAnsi"/>
          <w:sz w:val="22"/>
          <w:szCs w:val="22"/>
        </w:rPr>
        <w:t>telefonszám: +3630</w:t>
      </w:r>
      <w:r w:rsidR="001E7A3C">
        <w:rPr>
          <w:rFonts w:asciiTheme="minorHAnsi" w:hAnsiTheme="minorHAnsi" w:cstheme="minorHAnsi"/>
          <w:sz w:val="22"/>
          <w:szCs w:val="22"/>
        </w:rPr>
        <w:t>1531523</w:t>
      </w:r>
    </w:p>
    <w:p w14:paraId="44449BEF" w14:textId="77777777" w:rsidR="007061E0" w:rsidRPr="00665707" w:rsidRDefault="007061E0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061E0" w:rsidRPr="00665707" w:rsidSect="0097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8E71C" w14:textId="77777777" w:rsidR="00BE41F1" w:rsidRDefault="00BE41F1">
      <w:r>
        <w:separator/>
      </w:r>
    </w:p>
  </w:endnote>
  <w:endnote w:type="continuationSeparator" w:id="0">
    <w:p w14:paraId="1F7453AE" w14:textId="77777777" w:rsidR="00BE41F1" w:rsidRDefault="00BE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074C3" w14:textId="77777777" w:rsidR="0058767D" w:rsidRDefault="005876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1884" w14:textId="77777777" w:rsidR="00BE41F1" w:rsidRDefault="00BE41F1">
      <w:r>
        <w:separator/>
      </w:r>
    </w:p>
  </w:footnote>
  <w:footnote w:type="continuationSeparator" w:id="0">
    <w:p w14:paraId="310983D2" w14:textId="77777777" w:rsidR="00BE41F1" w:rsidRDefault="00BE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3E3C" w14:textId="77777777" w:rsidR="0058767D" w:rsidRDefault="005876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FF9C" w14:textId="77777777" w:rsidR="0058767D" w:rsidRDefault="005876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B28EE"/>
    <w:rsid w:val="001C69A3"/>
    <w:rsid w:val="001E7A3C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288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125B9"/>
    <w:rsid w:val="00323318"/>
    <w:rsid w:val="0032380C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03FF4"/>
    <w:rsid w:val="00414D47"/>
    <w:rsid w:val="00420DA9"/>
    <w:rsid w:val="0042199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C79F2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85A0E"/>
    <w:rsid w:val="0058767D"/>
    <w:rsid w:val="00595B85"/>
    <w:rsid w:val="005B240A"/>
    <w:rsid w:val="005D4A3F"/>
    <w:rsid w:val="005D768E"/>
    <w:rsid w:val="005E0970"/>
    <w:rsid w:val="0060064B"/>
    <w:rsid w:val="00605FF7"/>
    <w:rsid w:val="0061332E"/>
    <w:rsid w:val="00625297"/>
    <w:rsid w:val="006312E8"/>
    <w:rsid w:val="00641A1C"/>
    <w:rsid w:val="00665707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63480"/>
    <w:rsid w:val="0077255B"/>
    <w:rsid w:val="00774F31"/>
    <w:rsid w:val="00785F15"/>
    <w:rsid w:val="007A47AD"/>
    <w:rsid w:val="007C424A"/>
    <w:rsid w:val="007C4EA3"/>
    <w:rsid w:val="007F20CB"/>
    <w:rsid w:val="007F374F"/>
    <w:rsid w:val="007F45EF"/>
    <w:rsid w:val="00805625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E41F1"/>
    <w:rsid w:val="00BF14B3"/>
    <w:rsid w:val="00C02334"/>
    <w:rsid w:val="00C03CAB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634E9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PTE_MIK</dc:creator>
  <cp:keywords/>
  <cp:lastModifiedBy>Pálfi Melinda</cp:lastModifiedBy>
  <cp:revision>2</cp:revision>
  <cp:lastPrinted>2003-07-24T12:44:00Z</cp:lastPrinted>
  <dcterms:created xsi:type="dcterms:W3CDTF">2026-07-15T07:47:00Z</dcterms:created>
  <dcterms:modified xsi:type="dcterms:W3CDTF">2026-07-15T07:47:00Z</dcterms:modified>
</cp:coreProperties>
</file>