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1D88016" w14:textId="77777777" w:rsidR="000141BF" w:rsidRPr="000141BF" w:rsidRDefault="000141BF" w:rsidP="000141B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HAnsi"/>
          <w:b/>
          <w:bCs/>
          <w:color w:val="auto"/>
          <w:sz w:val="28"/>
          <w:szCs w:val="28"/>
          <w:lang w:eastAsia="en-US"/>
        </w:rPr>
      </w:pPr>
      <w:r w:rsidRPr="000141BF">
        <w:rPr>
          <w:rFonts w:asciiTheme="minorHAnsi" w:eastAsiaTheme="minorHAnsi" w:hAnsiTheme="minorHAnsi" w:cstheme="minorHAnsi"/>
          <w:b/>
          <w:bCs/>
          <w:color w:val="auto"/>
          <w:sz w:val="28"/>
          <w:szCs w:val="28"/>
          <w:lang w:eastAsia="en-US"/>
        </w:rPr>
        <w:t>Új funkciót terveztek a PTE Szőlészeti és Borászati Kutatóintézetébe a belsőépítész hallgatók</w:t>
      </w:r>
    </w:p>
    <w:p w14:paraId="39B695A6" w14:textId="77777777" w:rsidR="000141BF" w:rsidRPr="000141BF" w:rsidRDefault="000141BF" w:rsidP="000141B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</w:pPr>
    </w:p>
    <w:p w14:paraId="2C97C9FD" w14:textId="77777777" w:rsidR="000141BF" w:rsidRPr="000141BF" w:rsidRDefault="000141BF" w:rsidP="000141B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</w:pPr>
    </w:p>
    <w:p w14:paraId="562CA9BA" w14:textId="77777777" w:rsidR="000141BF" w:rsidRPr="000141BF" w:rsidRDefault="000141BF" w:rsidP="000141B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</w:pPr>
    </w:p>
    <w:p w14:paraId="0A7834F7" w14:textId="77777777" w:rsidR="000141BF" w:rsidRPr="000141BF" w:rsidRDefault="000141BF" w:rsidP="000141B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</w:pPr>
      <w:r w:rsidRPr="000141BF"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  <w:t xml:space="preserve">Gasztronómiai események és konferenciák megtartását is lehetővé tevő látogatóközpontot alakítanak ki a Pécsi Tudományegyetem Szőlészeti és Borászati Kutatóintézetében, a többfunkciós variálható belső tér megtervezésére az egyetem belsőépítész mesterszakos hallgatóit kérték fel. A 21. század elvárásait megvalósító, mégis a kutatóintézet szellemiségét megőrző helyiségekben a megrendelő kérésére jelentős szerepet kapnak az ott található patinás tárgyak, a funkciók egységesítésével a korábbinál jobban szervezett és új lehetőségeket magában hordozó épület jön létre. A PTE Műszaki és Informatikai Karán (PTE MIK) a tavalyi tanévben </w:t>
      </w:r>
      <w:proofErr w:type="spellStart"/>
      <w:r w:rsidRPr="000141BF"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  <w:t>újraindult</w:t>
      </w:r>
      <w:proofErr w:type="spellEnd"/>
      <w:r w:rsidRPr="000141BF"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/>
        </w:rPr>
        <w:t xml:space="preserve"> belsőépítész képzés mesterszakos hallgatói olyan kiváló tervet tettek le az asztalra, amely megalapozta a kutatóintézet és a kar közötti további együttműködést.</w:t>
      </w:r>
    </w:p>
    <w:p w14:paraId="4094ACE4" w14:textId="77777777" w:rsidR="000141BF" w:rsidRPr="000141BF" w:rsidRDefault="000141BF" w:rsidP="000141B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22B97368" w14:textId="77777777" w:rsidR="000141BF" w:rsidRPr="000141BF" w:rsidRDefault="000141BF" w:rsidP="000141B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0141B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 megbízó elvárása szerint a fogyasztótérnek többféle funkció kielégítésére kell alkalmasnak lennie: egyrészt ki kell tudnia szolgálni az éves rendezvények lebonyolítását (borbírálat, metszési oktatás) és akár külső partnerek 5-6 fős, illetve 50-80 fős konferenciáit is, vetítési, étkezési és kisebb borkóstolók megrendezésének lehetőségével. További igényként merült fel az egyidejűleg futó rendezvények megtartása miatt szabadon variálható asztalokkal és székekkel a belső tér leválaszthatósága is. „Egy egyetemen belül minden kapcsolatot erősíteni kell és ki kell használni az erőforrásokat, ez a megbízás jó lehetőség volt erre. A belsőépítész szakos hallgatók szabad kezet kaptak a tervezésben, de azt kértük, hogy az intézetben rendelkezésre álló építőanyagokat, valamint a dekorációs célt szolgáló régi használati tárgyakat, például hordódongákat is tervezzék bele az új térbe. Kiváló terveket kaptunk, ezek közül egyet hamarosan teljes egészében megvalósítunk. A kar és az intézet kapcsolatában még több potenciál van, bízom benne, hogy a jövőben további együttműködéseink is lesznek” – mondja Madaras Zoltán, a PTE Szőlészeti és Borászati Kutatóintézetnek elnöke.</w:t>
      </w:r>
    </w:p>
    <w:p w14:paraId="3F8D28AF" w14:textId="77777777" w:rsidR="000141BF" w:rsidRPr="000141BF" w:rsidRDefault="000141BF" w:rsidP="000141B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0141BF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„A szak ismételt akkreditáltatása után 2020 szeptemberében indult újra karunkon a belsőépítész képzés magyar és angol nyelven, a borászati kutatóintézet belső tereinek tervezése pedig egy kitűnő feladat volt a mesterszakos hallgatóink számára. Az esetek többségében az ilyen jellegű megbízásoknál nemcsak a belső térre, hanem a közvetlen környezetre is kell reagálni, itt még fontos tényező volt, hogy maga az épület helyi védettség alatt áll, és mind a város, mind az egyetem életében értéket képvisel” – fogalmaz dr. Borsos Ágnes, a kar Belsőépítészeti, Alkalmazott és Kreatív Design Tanszék mb. tanszékvezetője. A munkában a megbízó igényeinek való megfelelés mellett kihívást jelentett, hogy nem áll rendelkezésre egyszerre az átalakítást fedező forrás, a kivitelezési munkákat szakaszosan végzik majd, így az ütemezésnek is meg kellett jelennie a tervekben. „A jelenlegi funkciók átcsoportosításával az épület földszintjén – ami közvetlen kapcsolatban áll a bejárattal – jön létre a reprezentációra alkalmas tér, az emeleten pedig az irodák és kiszolgálóhelyiségek kapnak helyet. Ezáltal egy hosszú távon jól üzemeltethető, letisztult funkciójú épület születik” – teszi hozzá dr. Borsos Ágnes. </w:t>
      </w:r>
    </w:p>
    <w:p w14:paraId="255E9B7D" w14:textId="77777777" w:rsidR="000141BF" w:rsidRPr="000141BF" w:rsidRDefault="000141BF" w:rsidP="000141B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0141BF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A pécsi belsőépítész képzés jellemzően kis létszámmal, műhely jelleggel működő művészképzés, a gyakorlatban valós feladatok és hiteles szituációk által sajátítják el a hallgatók a tananyagot. A szakon koncepció alapú belsőépítészetet oktatnak, így az építésztervezés, a házra jellemző funkciók és anyagok, a terek egymáshoz való </w:t>
      </w:r>
      <w:r w:rsidRPr="000141BF">
        <w:rPr>
          <w:rFonts w:asciiTheme="minorHAnsi" w:eastAsia="Times New Roman" w:hAnsiTheme="minorHAnsi" w:cstheme="minorHAnsi"/>
          <w:color w:val="auto"/>
          <w:sz w:val="22"/>
          <w:szCs w:val="22"/>
        </w:rPr>
        <w:lastRenderedPageBreak/>
        <w:t xml:space="preserve">viszonya, a felületek, a világítás, az emberi komfortot kielégítő igények ugyanúgy megjelennek témaként, mint a belső tér finom részletei. „Egy meglévő épület átalakítása sokszor a funkciók korszerűsítését jelenti, ám mindezt a meglévő értékek szem előtt tartásával kell végrehajtani. A belsőépítész feladata, hogy az épület adottságait az igényes téralkotásba fordítsa át, hogy az a környezetéhez és a felé támasztott elvárásokhoz is jól illeszkedjen” – véli Borsos Ágnes. A pécsi egyetem belsőépítész képzésének oktatói és hallgatói is részt vesznek a karon működő </w:t>
      </w:r>
      <w:proofErr w:type="spellStart"/>
      <w:r w:rsidRPr="000141BF">
        <w:rPr>
          <w:rFonts w:asciiTheme="minorHAnsi" w:eastAsia="Times New Roman" w:hAnsiTheme="minorHAnsi" w:cstheme="minorHAnsi"/>
          <w:color w:val="auto"/>
          <w:sz w:val="22"/>
          <w:szCs w:val="22"/>
        </w:rPr>
        <w:t>Parametrizált</w:t>
      </w:r>
      <w:proofErr w:type="spellEnd"/>
      <w:r w:rsidRPr="000141BF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Komfort a Fizikai Terekben Kutatócsoport munkájában, amelyben a belsőépítészetet abból a szempontból is vizsgálják, hogy a belső terek egyes elemei miként járulnak hozzá a funkció minél teljesebb kiszolgálásához. </w:t>
      </w:r>
    </w:p>
    <w:p w14:paraId="397FE30D" w14:textId="77777777" w:rsidR="000141BF" w:rsidRPr="000141BF" w:rsidRDefault="000141BF" w:rsidP="000141BF">
      <w:pPr>
        <w:widowControl/>
        <w:shd w:val="clear" w:color="auto" w:fill="FFFFFF"/>
        <w:suppressAutoHyphens w:val="0"/>
        <w:spacing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</w:p>
    <w:p w14:paraId="09AAA333" w14:textId="77777777" w:rsidR="00EA6048" w:rsidRPr="00EA6048" w:rsidRDefault="00EA6048" w:rsidP="00EA60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22FEA9FA" w14:textId="77777777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1ECBA028" w14:textId="1B64671B" w:rsidR="006312E8" w:rsidRPr="006312E8" w:rsidRDefault="00EA604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Pr="00EA6048">
        <w:rPr>
          <w:rFonts w:asciiTheme="minorHAnsi" w:hAnsiTheme="minorHAnsi" w:cstheme="minorHAnsi"/>
          <w:sz w:val="22"/>
          <w:szCs w:val="22"/>
        </w:rPr>
        <w:t xml:space="preserve">r. </w:t>
      </w:r>
      <w:r w:rsidR="000141BF">
        <w:rPr>
          <w:rFonts w:asciiTheme="minorHAnsi" w:hAnsiTheme="minorHAnsi" w:cstheme="minorHAnsi"/>
          <w:sz w:val="22"/>
          <w:szCs w:val="22"/>
        </w:rPr>
        <w:t>Borsos Ágnes mb.</w:t>
      </w:r>
      <w:r w:rsidRPr="00EA6048">
        <w:rPr>
          <w:rFonts w:asciiTheme="minorHAnsi" w:hAnsiTheme="minorHAnsi" w:cstheme="minorHAnsi"/>
          <w:sz w:val="22"/>
          <w:szCs w:val="22"/>
        </w:rPr>
        <w:t xml:space="preserve"> tansz</w:t>
      </w:r>
      <w:r w:rsidRPr="00EA6048">
        <w:rPr>
          <w:rFonts w:asciiTheme="minorHAnsi" w:hAnsiTheme="minorHAnsi" w:cstheme="minorHAnsi" w:hint="cs"/>
          <w:sz w:val="22"/>
          <w:szCs w:val="22"/>
        </w:rPr>
        <w:t>é</w:t>
      </w:r>
      <w:r w:rsidRPr="00EA6048">
        <w:rPr>
          <w:rFonts w:asciiTheme="minorHAnsi" w:hAnsiTheme="minorHAnsi" w:cstheme="minorHAnsi"/>
          <w:sz w:val="22"/>
          <w:szCs w:val="22"/>
        </w:rPr>
        <w:t>kvezet</w:t>
      </w:r>
      <w:r w:rsidRPr="00EA6048">
        <w:rPr>
          <w:rFonts w:asciiTheme="minorHAnsi" w:hAnsiTheme="minorHAnsi" w:cstheme="minorHAnsi" w:hint="cs"/>
          <w:sz w:val="22"/>
          <w:szCs w:val="22"/>
        </w:rPr>
        <w:t>ő</w:t>
      </w:r>
      <w:r w:rsidRPr="00EA6048">
        <w:rPr>
          <w:rFonts w:asciiTheme="minorHAnsi" w:hAnsiTheme="minorHAnsi" w:cstheme="minorHAnsi"/>
          <w:sz w:val="22"/>
          <w:szCs w:val="22"/>
        </w:rPr>
        <w:t xml:space="preserve"> </w:t>
      </w:r>
      <w:r w:rsidR="006312E8" w:rsidRPr="006312E8">
        <w:rPr>
          <w:rFonts w:asciiTheme="minorHAnsi" w:hAnsiTheme="minorHAnsi" w:cstheme="minorHAnsi"/>
          <w:sz w:val="22"/>
          <w:szCs w:val="22"/>
        </w:rPr>
        <w:t>– PTE MIK</w:t>
      </w:r>
    </w:p>
    <w:p w14:paraId="04CBEB30" w14:textId="35BD1C04" w:rsidR="006312E8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0630 </w:t>
      </w:r>
      <w:r w:rsidR="00935376">
        <w:rPr>
          <w:rFonts w:asciiTheme="minorHAnsi" w:hAnsiTheme="minorHAnsi" w:cstheme="minorHAnsi"/>
          <w:sz w:val="22"/>
          <w:szCs w:val="22"/>
        </w:rPr>
        <w:t>421 1256</w:t>
      </w:r>
    </w:p>
    <w:p w14:paraId="2DC0C4EA" w14:textId="13960CAE" w:rsidR="00991B0E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 w:rsidR="00935376">
        <w:rPr>
          <w:rFonts w:asciiTheme="minorHAnsi" w:hAnsiTheme="minorHAnsi" w:cstheme="minorHAnsi"/>
          <w:sz w:val="22"/>
          <w:szCs w:val="22"/>
        </w:rPr>
        <w:t>borsos.agnes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 w:rsidR="00FD7D63">
        <w:rPr>
          <w:rFonts w:asciiTheme="minorHAnsi" w:hAnsiTheme="minorHAnsi" w:cstheme="minorHAnsi"/>
          <w:sz w:val="22"/>
          <w:szCs w:val="22"/>
        </w:rPr>
        <w:t>mik.pte.hu</w:t>
      </w:r>
    </w:p>
    <w:sectPr w:rsidR="00991B0E" w:rsidRPr="006312E8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4B95" w14:textId="77777777" w:rsidR="0034577B" w:rsidRDefault="0034577B">
      <w:r>
        <w:separator/>
      </w:r>
    </w:p>
  </w:endnote>
  <w:endnote w:type="continuationSeparator" w:id="0">
    <w:p w14:paraId="2F6C5C09" w14:textId="77777777" w:rsidR="0034577B" w:rsidRDefault="00345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BE55C" w14:textId="77777777" w:rsidR="0034577B" w:rsidRDefault="0034577B">
      <w:r>
        <w:separator/>
      </w:r>
    </w:p>
  </w:footnote>
  <w:footnote w:type="continuationSeparator" w:id="0">
    <w:p w14:paraId="1AB969E6" w14:textId="77777777" w:rsidR="0034577B" w:rsidRDefault="00345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41BF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4577B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35376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A6048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D7D63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2021-08-18T14:16:00Z</dcterms:created>
  <dcterms:modified xsi:type="dcterms:W3CDTF">2021-08-18T14:16:00Z</dcterms:modified>
</cp:coreProperties>
</file>